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420CBD" w:rsidRPr="002F49B6" w14:paraId="4FDA24C6" w14:textId="77777777" w:rsidTr="00DA7ED8">
        <w:trPr>
          <w:cantSplit/>
        </w:trPr>
        <w:tc>
          <w:tcPr>
            <w:tcW w:w="6071" w:type="dxa"/>
            <w:gridSpan w:val="3"/>
            <w:tcBorders>
              <w:top w:val="nil"/>
              <w:left w:val="nil"/>
              <w:bottom w:val="nil"/>
              <w:right w:val="nil"/>
            </w:tcBorders>
          </w:tcPr>
          <w:p w14:paraId="0F9119A0" w14:textId="77777777" w:rsidR="00420CBD" w:rsidRPr="002F49B6" w:rsidRDefault="00420CBD" w:rsidP="00DA7ED8">
            <w:pPr>
              <w:pStyle w:val="Header1"/>
              <w:rPr>
                <w:rFonts w:asciiTheme="minorHAnsi" w:hAnsiTheme="minorHAnsi" w:cstheme="minorHAnsi"/>
                <w:sz w:val="24"/>
                <w:szCs w:val="24"/>
                <w:lang w:val="en-GB"/>
              </w:rPr>
            </w:pPr>
          </w:p>
          <w:p w14:paraId="4C90C719" w14:textId="77777777"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noProof/>
                <w:sz w:val="24"/>
                <w:szCs w:val="24"/>
                <w:lang w:val="en-GB"/>
              </w:rPr>
              <w:drawing>
                <wp:inline distT="0" distB="0" distL="0" distR="0" wp14:anchorId="5CFBBB4C" wp14:editId="404D43C0">
                  <wp:extent cx="1943100" cy="5334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14:paraId="6932D7DB" w14:textId="5264C831" w:rsidR="00420CBD" w:rsidRPr="002F49B6" w:rsidRDefault="00420CBD" w:rsidP="00DA7ED8">
            <w:pPr>
              <w:pStyle w:val="Header1"/>
              <w:rPr>
                <w:rFonts w:asciiTheme="minorHAnsi" w:hAnsiTheme="minorHAnsi" w:cstheme="minorHAnsi"/>
                <w:sz w:val="24"/>
                <w:szCs w:val="24"/>
                <w:lang w:val="en-GB"/>
              </w:rPr>
            </w:pPr>
          </w:p>
        </w:tc>
        <w:tc>
          <w:tcPr>
            <w:tcW w:w="3569" w:type="dxa"/>
            <w:tcBorders>
              <w:top w:val="nil"/>
              <w:left w:val="nil"/>
              <w:bottom w:val="nil"/>
              <w:right w:val="nil"/>
            </w:tcBorders>
          </w:tcPr>
          <w:p w14:paraId="5E8FDB3A" w14:textId="1B2B0363" w:rsidR="00420CBD" w:rsidRPr="002F49B6" w:rsidRDefault="00655D9E" w:rsidP="00DA7ED8">
            <w:pPr>
              <w:pStyle w:val="Header1"/>
              <w:tabs>
                <w:tab w:val="clear" w:pos="4536"/>
                <w:tab w:val="right" w:pos="3357"/>
              </w:tabs>
              <w:jc w:val="right"/>
              <w:rPr>
                <w:rFonts w:asciiTheme="minorHAnsi" w:hAnsiTheme="minorHAnsi" w:cstheme="minorHAnsi"/>
                <w:sz w:val="24"/>
                <w:szCs w:val="24"/>
                <w:lang w:val="en-GB"/>
              </w:rPr>
            </w:pPr>
            <w:r w:rsidRPr="002F49B6">
              <w:rPr>
                <w:rFonts w:asciiTheme="minorHAnsi" w:hAnsiTheme="minorHAnsi" w:cstheme="minorHAnsi"/>
                <w:sz w:val="24"/>
                <w:szCs w:val="24"/>
                <w:lang w:val="en-GB"/>
              </w:rPr>
              <w:t>Doc</w:t>
            </w:r>
            <w:r w:rsidR="00420CBD" w:rsidRPr="002F49B6">
              <w:rPr>
                <w:rFonts w:asciiTheme="minorHAnsi" w:hAnsiTheme="minorHAnsi" w:cstheme="minorHAnsi"/>
                <w:sz w:val="24"/>
                <w:szCs w:val="24"/>
                <w:lang w:val="en-GB"/>
              </w:rPr>
              <w:t xml:space="preserve"> (22) </w:t>
            </w:r>
            <w:r w:rsidR="00194D5F">
              <w:rPr>
                <w:rFonts w:asciiTheme="minorHAnsi" w:hAnsiTheme="minorHAnsi" w:cstheme="minorHAnsi"/>
                <w:sz w:val="24"/>
                <w:szCs w:val="24"/>
                <w:lang w:val="en-GB"/>
              </w:rPr>
              <w:t>54</w:t>
            </w:r>
            <w:r w:rsidR="005A573A">
              <w:rPr>
                <w:rFonts w:asciiTheme="minorHAnsi" w:hAnsiTheme="minorHAnsi" w:cstheme="minorHAnsi"/>
                <w:sz w:val="24"/>
                <w:szCs w:val="24"/>
                <w:lang w:val="en-GB"/>
              </w:rPr>
              <w:t>_rev1</w:t>
            </w:r>
          </w:p>
        </w:tc>
      </w:tr>
      <w:tr w:rsidR="00420CBD" w:rsidRPr="002F49B6" w14:paraId="70095FF3" w14:textId="77777777" w:rsidTr="00DA7ED8">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6802A8E3" w14:textId="24B6FC42" w:rsidR="00420CBD" w:rsidRPr="002F49B6" w:rsidRDefault="006A0852"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Web</w:t>
            </w:r>
            <w:r w:rsidR="00420CBD" w:rsidRPr="002F49B6">
              <w:rPr>
                <w:rFonts w:asciiTheme="minorHAnsi" w:hAnsiTheme="minorHAnsi" w:cstheme="minorHAnsi"/>
                <w:sz w:val="24"/>
                <w:szCs w:val="24"/>
                <w:lang w:val="en-GB"/>
              </w:rPr>
              <w:t>-meeting</w:t>
            </w:r>
          </w:p>
          <w:p w14:paraId="4915F6DD" w14:textId="3D7CDAA8" w:rsidR="00420CBD" w:rsidRPr="002F49B6" w:rsidRDefault="00D10266"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14</w:t>
            </w:r>
            <w:r w:rsidR="00420CBD" w:rsidRPr="002F49B6">
              <w:rPr>
                <w:rFonts w:asciiTheme="minorHAnsi" w:hAnsiTheme="minorHAnsi" w:cstheme="minorHAnsi"/>
                <w:sz w:val="24"/>
                <w:szCs w:val="24"/>
                <w:lang w:val="en-GB"/>
              </w:rPr>
              <w:t xml:space="preserve"> </w:t>
            </w:r>
            <w:r w:rsidRPr="002F49B6">
              <w:rPr>
                <w:rFonts w:asciiTheme="minorHAnsi" w:hAnsiTheme="minorHAnsi" w:cstheme="minorHAnsi"/>
                <w:sz w:val="24"/>
                <w:szCs w:val="24"/>
                <w:lang w:val="en-GB"/>
              </w:rPr>
              <w:t>November</w:t>
            </w:r>
            <w:r w:rsidR="00420CBD" w:rsidRPr="002F49B6">
              <w:rPr>
                <w:rFonts w:asciiTheme="minorHAnsi" w:hAnsiTheme="minorHAnsi" w:cstheme="minorHAnsi"/>
                <w:sz w:val="24"/>
                <w:szCs w:val="24"/>
                <w:lang w:val="en-GB"/>
              </w:rPr>
              <w:t xml:space="preserve"> 2022 </w:t>
            </w:r>
          </w:p>
        </w:tc>
        <w:tc>
          <w:tcPr>
            <w:tcW w:w="5300" w:type="dxa"/>
            <w:gridSpan w:val="2"/>
            <w:tcBorders>
              <w:top w:val="nil"/>
              <w:left w:val="nil"/>
              <w:bottom w:val="nil"/>
              <w:right w:val="nil"/>
            </w:tcBorders>
            <w:vAlign w:val="center"/>
          </w:tcPr>
          <w:p w14:paraId="6AAC536D" w14:textId="77777777" w:rsidR="00420CBD" w:rsidRPr="002F49B6" w:rsidRDefault="00420CBD" w:rsidP="00DA7ED8">
            <w:pPr>
              <w:pStyle w:val="Header1"/>
              <w:rPr>
                <w:rFonts w:asciiTheme="minorHAnsi" w:hAnsiTheme="minorHAnsi" w:cstheme="minorHAnsi"/>
                <w:sz w:val="24"/>
                <w:szCs w:val="24"/>
                <w:lang w:val="en-GB"/>
              </w:rPr>
            </w:pPr>
          </w:p>
        </w:tc>
      </w:tr>
      <w:tr w:rsidR="00420CBD" w:rsidRPr="002F49B6" w14:paraId="0FA2BC17" w14:textId="77777777" w:rsidTr="00DA7ED8">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14:paraId="32B2E7F0" w14:textId="77777777" w:rsidR="00420CBD" w:rsidRPr="002F49B6" w:rsidRDefault="00420CBD" w:rsidP="00DA7ED8">
            <w:pPr>
              <w:pStyle w:val="Header1"/>
              <w:rPr>
                <w:rFonts w:asciiTheme="minorHAnsi" w:hAnsiTheme="minorHAnsi" w:cstheme="minorHAnsi"/>
                <w:sz w:val="24"/>
                <w:szCs w:val="24"/>
                <w:lang w:val="en-GB"/>
              </w:rPr>
            </w:pPr>
          </w:p>
          <w:p w14:paraId="1478A301" w14:textId="77777777" w:rsidR="00420CBD" w:rsidRPr="002F49B6" w:rsidRDefault="00420CBD" w:rsidP="00DA7ED8">
            <w:pPr>
              <w:pStyle w:val="Header1"/>
              <w:rPr>
                <w:rFonts w:asciiTheme="minorHAnsi" w:hAnsiTheme="minorHAnsi" w:cstheme="minorHAnsi"/>
                <w:sz w:val="24"/>
                <w:szCs w:val="24"/>
                <w:lang w:val="en-GB"/>
              </w:rPr>
            </w:pPr>
          </w:p>
          <w:p w14:paraId="73121568" w14:textId="77777777" w:rsidR="00420CBD" w:rsidRPr="002F49B6" w:rsidRDefault="00420CBD" w:rsidP="00DA7ED8">
            <w:pPr>
              <w:pStyle w:val="Header1"/>
              <w:rPr>
                <w:rFonts w:asciiTheme="minorHAnsi" w:hAnsiTheme="minorHAnsi" w:cstheme="minorHAnsi"/>
                <w:sz w:val="24"/>
                <w:szCs w:val="24"/>
                <w:lang w:val="en-GB"/>
              </w:rPr>
            </w:pPr>
          </w:p>
        </w:tc>
        <w:tc>
          <w:tcPr>
            <w:tcW w:w="5300" w:type="dxa"/>
            <w:gridSpan w:val="2"/>
            <w:tcBorders>
              <w:top w:val="nil"/>
              <w:left w:val="nil"/>
              <w:bottom w:val="nil"/>
              <w:right w:val="nil"/>
            </w:tcBorders>
            <w:vAlign w:val="center"/>
          </w:tcPr>
          <w:p w14:paraId="17CC31E4" w14:textId="77777777" w:rsidR="00420CBD" w:rsidRPr="002F49B6" w:rsidRDefault="00420CBD" w:rsidP="00DA7ED8">
            <w:pPr>
              <w:pStyle w:val="Header1"/>
              <w:rPr>
                <w:rFonts w:asciiTheme="minorHAnsi" w:hAnsiTheme="minorHAnsi" w:cstheme="minorHAnsi"/>
                <w:sz w:val="24"/>
                <w:szCs w:val="24"/>
                <w:lang w:val="en-GB"/>
              </w:rPr>
            </w:pPr>
          </w:p>
        </w:tc>
      </w:tr>
      <w:tr w:rsidR="00420CBD" w:rsidRPr="002F49B6" w14:paraId="763FB19D" w14:textId="77777777" w:rsidTr="00DA7ED8">
        <w:tblPrEx>
          <w:tblCellMar>
            <w:left w:w="108" w:type="dxa"/>
            <w:right w:w="108" w:type="dxa"/>
          </w:tblCellMar>
        </w:tblPrEx>
        <w:trPr>
          <w:cantSplit/>
          <w:trHeight w:val="405"/>
        </w:trPr>
        <w:tc>
          <w:tcPr>
            <w:tcW w:w="1843" w:type="dxa"/>
            <w:tcBorders>
              <w:top w:val="nil"/>
              <w:left w:val="nil"/>
              <w:bottom w:val="nil"/>
              <w:right w:val="nil"/>
            </w:tcBorders>
            <w:vAlign w:val="center"/>
          </w:tcPr>
          <w:p w14:paraId="71168409" w14:textId="77777777"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Date issued:</w:t>
            </w:r>
          </w:p>
        </w:tc>
        <w:tc>
          <w:tcPr>
            <w:tcW w:w="7797" w:type="dxa"/>
            <w:gridSpan w:val="3"/>
            <w:tcBorders>
              <w:top w:val="nil"/>
              <w:left w:val="nil"/>
              <w:bottom w:val="nil"/>
              <w:right w:val="nil"/>
            </w:tcBorders>
            <w:vAlign w:val="center"/>
          </w:tcPr>
          <w:p w14:paraId="07D44AA1" w14:textId="49AE600F" w:rsidR="00420CBD" w:rsidRPr="002F49B6" w:rsidRDefault="00892362" w:rsidP="00DA7ED8">
            <w:pPr>
              <w:pStyle w:val="Header1"/>
              <w:rPr>
                <w:rFonts w:asciiTheme="minorHAnsi" w:hAnsiTheme="minorHAnsi" w:cstheme="minorHAnsi"/>
                <w:sz w:val="24"/>
                <w:szCs w:val="24"/>
                <w:lang w:val="en-GB"/>
              </w:rPr>
            </w:pPr>
            <w:r>
              <w:rPr>
                <w:rFonts w:asciiTheme="minorHAnsi" w:hAnsiTheme="minorHAnsi" w:cstheme="minorHAnsi"/>
                <w:sz w:val="24"/>
                <w:szCs w:val="24"/>
                <w:lang w:val="en-GB"/>
              </w:rPr>
              <w:t xml:space="preserve">14 </w:t>
            </w:r>
            <w:r w:rsidR="00DD6DB5" w:rsidRPr="002F49B6">
              <w:rPr>
                <w:rFonts w:asciiTheme="minorHAnsi" w:hAnsiTheme="minorHAnsi" w:cstheme="minorHAnsi"/>
                <w:sz w:val="24"/>
                <w:szCs w:val="24"/>
                <w:lang w:val="en-GB"/>
              </w:rPr>
              <w:t>November</w:t>
            </w:r>
            <w:r w:rsidR="00420CBD" w:rsidRPr="002F49B6">
              <w:rPr>
                <w:rFonts w:asciiTheme="minorHAnsi" w:hAnsiTheme="minorHAnsi" w:cstheme="minorHAnsi"/>
                <w:sz w:val="24"/>
                <w:szCs w:val="24"/>
                <w:lang w:val="en-GB"/>
              </w:rPr>
              <w:t xml:space="preserve"> 2022</w:t>
            </w:r>
          </w:p>
        </w:tc>
      </w:tr>
      <w:tr w:rsidR="00420CBD" w:rsidRPr="002F49B6" w14:paraId="3ADF95AA" w14:textId="77777777" w:rsidTr="00DA7ED8">
        <w:tblPrEx>
          <w:tblCellMar>
            <w:left w:w="108" w:type="dxa"/>
            <w:right w:w="108" w:type="dxa"/>
          </w:tblCellMar>
        </w:tblPrEx>
        <w:trPr>
          <w:cantSplit/>
          <w:trHeight w:val="405"/>
        </w:trPr>
        <w:tc>
          <w:tcPr>
            <w:tcW w:w="1843" w:type="dxa"/>
            <w:tcBorders>
              <w:top w:val="nil"/>
              <w:left w:val="nil"/>
              <w:bottom w:val="nil"/>
              <w:right w:val="nil"/>
            </w:tcBorders>
            <w:vAlign w:val="center"/>
          </w:tcPr>
          <w:p w14:paraId="048DDDE8" w14:textId="77777777"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Source:</w:t>
            </w:r>
          </w:p>
        </w:tc>
        <w:tc>
          <w:tcPr>
            <w:tcW w:w="7797" w:type="dxa"/>
            <w:gridSpan w:val="3"/>
            <w:tcBorders>
              <w:top w:val="nil"/>
              <w:left w:val="nil"/>
              <w:bottom w:val="nil"/>
              <w:right w:val="nil"/>
            </w:tcBorders>
            <w:vAlign w:val="center"/>
          </w:tcPr>
          <w:p w14:paraId="5186C926" w14:textId="7AFD81CA"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Chair</w:t>
            </w:r>
            <w:r w:rsidR="00DD6DB5" w:rsidRPr="002F49B6">
              <w:rPr>
                <w:rFonts w:asciiTheme="minorHAnsi" w:hAnsiTheme="minorHAnsi" w:cstheme="minorHAnsi"/>
                <w:sz w:val="24"/>
                <w:szCs w:val="24"/>
                <w:lang w:val="en-GB"/>
              </w:rPr>
              <w:t>s</w:t>
            </w:r>
            <w:r w:rsidRPr="002F49B6">
              <w:rPr>
                <w:rFonts w:asciiTheme="minorHAnsi" w:hAnsiTheme="minorHAnsi" w:cstheme="minorHAnsi"/>
                <w:sz w:val="24"/>
                <w:szCs w:val="24"/>
                <w:lang w:val="en-GB"/>
              </w:rPr>
              <w:t xml:space="preserve"> of Com-ITU PT</w:t>
            </w:r>
            <w:r w:rsidR="00DD6DB5" w:rsidRPr="002F49B6">
              <w:rPr>
                <w:rFonts w:asciiTheme="minorHAnsi" w:hAnsiTheme="minorHAnsi" w:cstheme="minorHAnsi"/>
                <w:sz w:val="24"/>
                <w:szCs w:val="24"/>
                <w:lang w:val="en-GB"/>
              </w:rPr>
              <w:t>s</w:t>
            </w:r>
            <w:r w:rsidRPr="002F49B6">
              <w:rPr>
                <w:rFonts w:asciiTheme="minorHAnsi" w:hAnsiTheme="minorHAnsi" w:cstheme="minorHAnsi"/>
                <w:sz w:val="24"/>
                <w:szCs w:val="24"/>
                <w:lang w:val="en-GB"/>
              </w:rPr>
              <w:t xml:space="preserve"> </w:t>
            </w:r>
            <w:r w:rsidR="00DD6DB5" w:rsidRPr="002F49B6">
              <w:rPr>
                <w:rFonts w:asciiTheme="minorHAnsi" w:hAnsiTheme="minorHAnsi" w:cstheme="minorHAnsi"/>
                <w:sz w:val="24"/>
                <w:szCs w:val="24"/>
                <w:lang w:val="en-GB"/>
              </w:rPr>
              <w:t>PP-22</w:t>
            </w:r>
          </w:p>
        </w:tc>
      </w:tr>
      <w:tr w:rsidR="00420CBD" w:rsidRPr="002F49B6" w14:paraId="7683F468" w14:textId="77777777" w:rsidTr="00DA7ED8">
        <w:tblPrEx>
          <w:tblCellMar>
            <w:left w:w="108" w:type="dxa"/>
            <w:right w:w="108" w:type="dxa"/>
          </w:tblCellMar>
        </w:tblPrEx>
        <w:trPr>
          <w:cantSplit/>
          <w:trHeight w:val="405"/>
        </w:trPr>
        <w:tc>
          <w:tcPr>
            <w:tcW w:w="1843" w:type="dxa"/>
            <w:tcBorders>
              <w:top w:val="nil"/>
              <w:left w:val="nil"/>
              <w:bottom w:val="nil"/>
              <w:right w:val="nil"/>
            </w:tcBorders>
            <w:vAlign w:val="center"/>
          </w:tcPr>
          <w:p w14:paraId="2E7D72F3" w14:textId="77777777"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Subject:</w:t>
            </w:r>
          </w:p>
        </w:tc>
        <w:tc>
          <w:tcPr>
            <w:tcW w:w="7797" w:type="dxa"/>
            <w:gridSpan w:val="3"/>
            <w:tcBorders>
              <w:top w:val="nil"/>
              <w:left w:val="nil"/>
              <w:bottom w:val="nil"/>
              <w:right w:val="nil"/>
            </w:tcBorders>
            <w:vAlign w:val="center"/>
          </w:tcPr>
          <w:p w14:paraId="1DAFA61A" w14:textId="516096E3"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 xml:space="preserve">Report of </w:t>
            </w:r>
            <w:r w:rsidR="00DD6DB5" w:rsidRPr="002F49B6">
              <w:rPr>
                <w:rFonts w:asciiTheme="minorHAnsi" w:hAnsiTheme="minorHAnsi" w:cstheme="minorHAnsi"/>
                <w:sz w:val="24"/>
                <w:szCs w:val="24"/>
                <w:lang w:val="en-GB"/>
              </w:rPr>
              <w:t>PP</w:t>
            </w:r>
            <w:r w:rsidR="003F16E1" w:rsidRPr="002F49B6">
              <w:rPr>
                <w:rFonts w:asciiTheme="minorHAnsi" w:hAnsiTheme="minorHAnsi" w:cstheme="minorHAnsi"/>
                <w:sz w:val="24"/>
                <w:szCs w:val="24"/>
                <w:lang w:val="en-GB"/>
              </w:rPr>
              <w:t>-2</w:t>
            </w:r>
            <w:r w:rsidR="00BD0FD8" w:rsidRPr="002F49B6">
              <w:rPr>
                <w:rFonts w:asciiTheme="minorHAnsi" w:hAnsiTheme="minorHAnsi" w:cstheme="minorHAnsi"/>
                <w:sz w:val="24"/>
                <w:szCs w:val="24"/>
                <w:lang w:val="en-GB"/>
              </w:rPr>
              <w:t>2</w:t>
            </w:r>
          </w:p>
        </w:tc>
      </w:tr>
    </w:tbl>
    <w:p w14:paraId="3F442621" w14:textId="77777777" w:rsidR="00420CBD" w:rsidRPr="002F49B6" w:rsidRDefault="00420CBD" w:rsidP="00420CBD">
      <w:pPr>
        <w:rPr>
          <w:rFonts w:cstheme="minorHAnsi"/>
          <w:sz w:val="24"/>
          <w:szCs w:val="24"/>
          <w:lang w:val="en-GB"/>
        </w:rPr>
      </w:pPr>
      <w:r w:rsidRPr="002F49B6">
        <w:rPr>
          <w:rFonts w:cstheme="minorHAnsi"/>
          <w:noProof/>
          <w:sz w:val="24"/>
          <w:szCs w:val="24"/>
          <w:lang w:val="en-GB"/>
        </w:rPr>
        <mc:AlternateContent>
          <mc:Choice Requires="wps">
            <w:drawing>
              <wp:anchor distT="0" distB="0" distL="114300" distR="114300" simplePos="0" relativeHeight="251658240" behindDoc="1" locked="0" layoutInCell="1" allowOverlap="1" wp14:anchorId="6F2D013A" wp14:editId="2C94FE2A">
                <wp:simplePos x="0" y="0"/>
                <wp:positionH relativeFrom="column">
                  <wp:posOffset>2600325</wp:posOffset>
                </wp:positionH>
                <wp:positionV relativeFrom="paragraph">
                  <wp:posOffset>187960</wp:posOffset>
                </wp:positionV>
                <wp:extent cx="457200" cy="348615"/>
                <wp:effectExtent l="0" t="0" r="0" b="0"/>
                <wp:wrapTight wrapText="bothSides">
                  <wp:wrapPolygon edited="0">
                    <wp:start x="0" y="0"/>
                    <wp:lineTo x="0" y="21246"/>
                    <wp:lineTo x="21600" y="21246"/>
                    <wp:lineTo x="21600" y="0"/>
                    <wp:lineTo x="0" y="0"/>
                  </wp:wrapPolygon>
                </wp:wrapTight>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8615"/>
                        </a:xfrm>
                        <a:prstGeom prst="rect">
                          <a:avLst/>
                        </a:prstGeom>
                        <a:solidFill>
                          <a:srgbClr val="FFFFFF"/>
                        </a:solidFill>
                        <a:ln w="9525">
                          <a:solidFill>
                            <a:srgbClr val="000000"/>
                          </a:solidFill>
                          <a:miter lim="800000"/>
                          <a:headEnd/>
                          <a:tailEnd/>
                        </a:ln>
                      </wps:spPr>
                      <wps:txbx>
                        <w:txbxContent>
                          <w:p w14:paraId="57CF69C0" w14:textId="77777777" w:rsidR="00420CBD" w:rsidRPr="00254FD9" w:rsidRDefault="00420CBD" w:rsidP="00420CBD">
                            <w:pPr>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013A" id="_x0000_t202" coordsize="21600,21600" o:spt="202" path="m,l,21600r21600,l21600,xe">
                <v:stroke joinstyle="miter"/>
                <v:path gradientshapeok="t" o:connecttype="rect"/>
              </v:shapetype>
              <v:shape id="Textruta 1" o:spid="_x0000_s1026" type="#_x0000_t202" style="position:absolute;margin-left:204.75pt;margin-top:14.8pt;width:36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A8EwIAACo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">
                <v:textbox>
                  <w:txbxContent>
                    <w:p w14:paraId="57CF69C0" w14:textId="77777777" w:rsidR="00420CBD" w:rsidRPr="00254FD9" w:rsidRDefault="00420CBD" w:rsidP="00420CBD">
                      <w:pPr>
                        <w:jc w:val="center"/>
                        <w:rPr>
                          <w:rFonts w:cs="Arial"/>
                          <w:szCs w:val="24"/>
                          <w:lang w:val="de-DE"/>
                        </w:rPr>
                      </w:pPr>
                      <w:r>
                        <w:rPr>
                          <w:rFonts w:cs="Arial"/>
                          <w:szCs w:val="24"/>
                          <w:lang w:val="de-DE"/>
                        </w:rPr>
                        <w:t>N</w:t>
                      </w:r>
                    </w:p>
                  </w:txbxContent>
                </v:textbox>
                <w10:wrap type="tight"/>
              </v:shape>
            </w:pict>
          </mc:Fallback>
        </mc:AlternateContent>
      </w:r>
    </w:p>
    <w:p w14:paraId="34778CA4" w14:textId="77777777" w:rsidR="00420CBD" w:rsidRPr="002F49B6" w:rsidRDefault="00420CBD" w:rsidP="00420CBD">
      <w:pPr>
        <w:rPr>
          <w:rFonts w:cstheme="minorHAnsi"/>
          <w:sz w:val="24"/>
          <w:szCs w:val="24"/>
          <w:lang w:val="en-GB"/>
        </w:rPr>
      </w:pPr>
      <w:r w:rsidRPr="002F49B6">
        <w:rPr>
          <w:rFonts w:cstheme="minorHAnsi"/>
          <w:sz w:val="24"/>
          <w:szCs w:val="24"/>
          <w:lang w:val="en-GB"/>
        </w:rPr>
        <w:t xml:space="preserve">Password protection required? (Y/N) </w:t>
      </w:r>
    </w:p>
    <w:p w14:paraId="695B4272" w14:textId="77777777" w:rsidR="00420CBD" w:rsidRPr="002F49B6" w:rsidRDefault="00420CBD" w:rsidP="00420CBD">
      <w:pPr>
        <w:pStyle w:val="Title"/>
        <w:rPr>
          <w:rFonts w:asciiTheme="minorHAnsi" w:hAnsiTheme="minorHAnsi" w:cstheme="minorHAnsi"/>
          <w:sz w:val="24"/>
          <w:szCs w:val="24"/>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420CBD" w:rsidRPr="002F49B6" w14:paraId="41F5B90E" w14:textId="77777777" w:rsidTr="00DA7ED8">
        <w:trPr>
          <w:cantSplit/>
          <w:trHeight w:val="446"/>
        </w:trPr>
        <w:tc>
          <w:tcPr>
            <w:tcW w:w="9640" w:type="dxa"/>
            <w:tcBorders>
              <w:bottom w:val="nil"/>
            </w:tcBorders>
          </w:tcPr>
          <w:p w14:paraId="6D110B91" w14:textId="77777777"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 xml:space="preserve">Summary: </w:t>
            </w:r>
          </w:p>
        </w:tc>
      </w:tr>
      <w:tr w:rsidR="00420CBD" w:rsidRPr="002F49B6" w14:paraId="60D70EBC" w14:textId="77777777" w:rsidTr="00DA7ED8">
        <w:trPr>
          <w:cantSplit/>
          <w:trHeight w:val="852"/>
        </w:trPr>
        <w:tc>
          <w:tcPr>
            <w:tcW w:w="9640" w:type="dxa"/>
            <w:tcBorders>
              <w:top w:val="nil"/>
              <w:bottom w:val="single" w:sz="4" w:space="0" w:color="auto"/>
            </w:tcBorders>
          </w:tcPr>
          <w:p w14:paraId="0AC91FD6" w14:textId="701E63DE" w:rsidR="00420CBD" w:rsidRPr="002F49B6" w:rsidRDefault="00420CBD" w:rsidP="00DA7ED8">
            <w:pPr>
              <w:tabs>
                <w:tab w:val="left" w:pos="7560"/>
              </w:tabs>
              <w:rPr>
                <w:rFonts w:cstheme="minorHAnsi"/>
                <w:sz w:val="24"/>
                <w:szCs w:val="24"/>
                <w:lang w:val="en-GB"/>
              </w:rPr>
            </w:pPr>
            <w:r w:rsidRPr="002F49B6">
              <w:rPr>
                <w:rFonts w:cstheme="minorHAnsi"/>
                <w:bCs/>
                <w:sz w:val="24"/>
                <w:szCs w:val="24"/>
                <w:lang w:val="en-GB"/>
              </w:rPr>
              <w:t xml:space="preserve">Draft report of participation of CEPT members in the </w:t>
            </w:r>
            <w:r w:rsidR="00695D3E" w:rsidRPr="002F49B6">
              <w:rPr>
                <w:rFonts w:cstheme="minorHAnsi"/>
                <w:bCs/>
                <w:sz w:val="24"/>
                <w:szCs w:val="24"/>
                <w:lang w:val="en-GB"/>
              </w:rPr>
              <w:t xml:space="preserve">ITU Plenipotentiary </w:t>
            </w:r>
            <w:r w:rsidRPr="002F49B6">
              <w:rPr>
                <w:rFonts w:cstheme="minorHAnsi"/>
                <w:bCs/>
                <w:sz w:val="24"/>
                <w:szCs w:val="24"/>
                <w:lang w:val="en-GB"/>
              </w:rPr>
              <w:t>Conference</w:t>
            </w:r>
            <w:r w:rsidR="003427F6" w:rsidRPr="002F49B6">
              <w:rPr>
                <w:rFonts w:cstheme="minorHAnsi"/>
                <w:bCs/>
                <w:sz w:val="24"/>
                <w:szCs w:val="24"/>
                <w:lang w:val="en-GB"/>
              </w:rPr>
              <w:t xml:space="preserve"> 2022 (PP-22).</w:t>
            </w:r>
          </w:p>
        </w:tc>
      </w:tr>
      <w:tr w:rsidR="00420CBD" w:rsidRPr="002F49B6" w14:paraId="53715554" w14:textId="77777777" w:rsidTr="00DA7ED8">
        <w:trPr>
          <w:cantSplit/>
          <w:trHeight w:val="443"/>
        </w:trPr>
        <w:tc>
          <w:tcPr>
            <w:tcW w:w="9640" w:type="dxa"/>
            <w:tcBorders>
              <w:bottom w:val="nil"/>
            </w:tcBorders>
          </w:tcPr>
          <w:p w14:paraId="355D32C4" w14:textId="77777777" w:rsidR="00420CBD" w:rsidRPr="002F49B6" w:rsidRDefault="00420CBD" w:rsidP="00DA7ED8">
            <w:pPr>
              <w:pStyle w:val="Header1"/>
              <w:rPr>
                <w:rFonts w:asciiTheme="minorHAnsi" w:hAnsiTheme="minorHAnsi" w:cstheme="minorHAnsi"/>
                <w:sz w:val="24"/>
                <w:szCs w:val="24"/>
                <w:lang w:val="en-GB"/>
              </w:rPr>
            </w:pPr>
            <w:r w:rsidRPr="002F49B6">
              <w:rPr>
                <w:rFonts w:asciiTheme="minorHAnsi" w:hAnsiTheme="minorHAnsi" w:cstheme="minorHAnsi"/>
                <w:sz w:val="24"/>
                <w:szCs w:val="24"/>
                <w:lang w:val="en-GB"/>
              </w:rPr>
              <w:t xml:space="preserve">Proposal: </w:t>
            </w:r>
          </w:p>
        </w:tc>
      </w:tr>
      <w:tr w:rsidR="00420CBD" w:rsidRPr="002F49B6" w14:paraId="57486DB5" w14:textId="77777777" w:rsidTr="00DA7ED8">
        <w:trPr>
          <w:cantSplit/>
          <w:trHeight w:val="945"/>
        </w:trPr>
        <w:tc>
          <w:tcPr>
            <w:tcW w:w="9640" w:type="dxa"/>
            <w:tcBorders>
              <w:top w:val="nil"/>
              <w:bottom w:val="single" w:sz="4" w:space="0" w:color="auto"/>
            </w:tcBorders>
          </w:tcPr>
          <w:p w14:paraId="57D9BD85" w14:textId="33E95F7C" w:rsidR="00420CBD" w:rsidRPr="002F49B6" w:rsidRDefault="006B3C83" w:rsidP="006B3C83">
            <w:pPr>
              <w:tabs>
                <w:tab w:val="left" w:pos="360"/>
                <w:tab w:val="left" w:pos="792"/>
              </w:tabs>
              <w:spacing w:before="316" w:after="0" w:line="252" w:lineRule="exact"/>
              <w:ind w:right="288"/>
              <w:textAlignment w:val="baseline"/>
              <w:rPr>
                <w:rFonts w:eastAsia="Arial" w:cstheme="minorHAnsi"/>
                <w:color w:val="000000"/>
                <w:sz w:val="24"/>
                <w:szCs w:val="24"/>
                <w:lang w:val="en-GB"/>
              </w:rPr>
            </w:pPr>
            <w:r w:rsidRPr="002F49B6">
              <w:rPr>
                <w:rFonts w:eastAsia="Arial" w:cstheme="minorHAnsi"/>
                <w:color w:val="000000"/>
                <w:sz w:val="24"/>
                <w:szCs w:val="24"/>
                <w:lang w:val="en-GB"/>
              </w:rPr>
              <w:t>Com-I</w:t>
            </w:r>
            <w:r w:rsidR="00420CBD" w:rsidRPr="002F49B6">
              <w:rPr>
                <w:rFonts w:eastAsia="Arial" w:cstheme="minorHAnsi"/>
                <w:color w:val="000000"/>
                <w:sz w:val="24"/>
                <w:szCs w:val="24"/>
                <w:lang w:val="en-GB"/>
              </w:rPr>
              <w:t>T</w:t>
            </w:r>
            <w:r w:rsidRPr="002F49B6">
              <w:rPr>
                <w:rFonts w:eastAsia="Arial" w:cstheme="minorHAnsi"/>
                <w:color w:val="000000"/>
                <w:sz w:val="24"/>
                <w:szCs w:val="24"/>
                <w:lang w:val="en-GB"/>
              </w:rPr>
              <w:t xml:space="preserve">U is invited to approve the report on the outcomes of </w:t>
            </w:r>
            <w:r w:rsidR="003427F6" w:rsidRPr="002F49B6">
              <w:rPr>
                <w:rFonts w:eastAsia="Arial" w:cstheme="minorHAnsi"/>
                <w:color w:val="000000"/>
                <w:sz w:val="24"/>
                <w:szCs w:val="24"/>
                <w:lang w:val="en-GB"/>
              </w:rPr>
              <w:t>PP</w:t>
            </w:r>
            <w:r w:rsidRPr="002F49B6">
              <w:rPr>
                <w:rFonts w:eastAsia="Arial" w:cstheme="minorHAnsi"/>
                <w:color w:val="000000"/>
                <w:sz w:val="24"/>
                <w:szCs w:val="24"/>
                <w:lang w:val="en-GB"/>
              </w:rPr>
              <w:t>-22</w:t>
            </w:r>
            <w:r w:rsidR="00420CBD" w:rsidRPr="002F49B6">
              <w:rPr>
                <w:rFonts w:eastAsia="Arial" w:cstheme="minorHAnsi"/>
                <w:color w:val="000000"/>
                <w:sz w:val="24"/>
                <w:szCs w:val="24"/>
                <w:lang w:val="en-GB"/>
              </w:rPr>
              <w:t xml:space="preserve">. </w:t>
            </w:r>
          </w:p>
        </w:tc>
      </w:tr>
    </w:tbl>
    <w:p w14:paraId="6D561156" w14:textId="77777777" w:rsidR="00420CBD" w:rsidRPr="002F49B6" w:rsidRDefault="00420CBD" w:rsidP="00420CBD">
      <w:pPr>
        <w:rPr>
          <w:rFonts w:cstheme="minorHAnsi"/>
          <w:sz w:val="24"/>
          <w:szCs w:val="24"/>
          <w:lang w:val="en-GB"/>
        </w:rPr>
      </w:pPr>
    </w:p>
    <w:p w14:paraId="06C10D21" w14:textId="4EFF26EF" w:rsidR="00417083" w:rsidRPr="002F49B6" w:rsidRDefault="00420CBD" w:rsidP="00420CBD">
      <w:pPr>
        <w:spacing w:after="0" w:line="276" w:lineRule="auto"/>
        <w:jc w:val="center"/>
        <w:rPr>
          <w:rFonts w:cstheme="minorHAnsi"/>
          <w:b/>
          <w:sz w:val="24"/>
          <w:szCs w:val="24"/>
          <w:lang w:val="en-GB"/>
        </w:rPr>
      </w:pPr>
      <w:r w:rsidRPr="002F49B6">
        <w:rPr>
          <w:rFonts w:cstheme="minorHAnsi"/>
          <w:b/>
          <w:sz w:val="24"/>
          <w:szCs w:val="24"/>
          <w:lang w:val="en-GB"/>
        </w:rPr>
        <w:br w:type="column"/>
      </w:r>
      <w:r w:rsidR="000B7CB4" w:rsidRPr="002F49B6">
        <w:rPr>
          <w:rFonts w:cstheme="minorHAnsi"/>
          <w:b/>
          <w:sz w:val="24"/>
          <w:szCs w:val="24"/>
          <w:lang w:val="en-GB"/>
        </w:rPr>
        <w:lastRenderedPageBreak/>
        <w:t>Report of participation of CEPT members in the ITU Plenipotentiary Conference 2022 (PP-22)</w:t>
      </w:r>
    </w:p>
    <w:p w14:paraId="004F79E7" w14:textId="1ADFBC54" w:rsidR="007E1282" w:rsidRPr="002F49B6" w:rsidRDefault="000069B4" w:rsidP="002F49B6">
      <w:pPr>
        <w:spacing w:after="0" w:line="276" w:lineRule="auto"/>
        <w:jc w:val="center"/>
        <w:rPr>
          <w:rFonts w:cstheme="minorHAnsi"/>
          <w:b/>
          <w:bCs/>
          <w:sz w:val="24"/>
          <w:szCs w:val="24"/>
          <w:lang w:val="en-GB"/>
        </w:rPr>
      </w:pPr>
      <w:r w:rsidRPr="002F49B6">
        <w:rPr>
          <w:rFonts w:cstheme="minorHAnsi"/>
          <w:b/>
          <w:bCs/>
          <w:sz w:val="24"/>
          <w:szCs w:val="24"/>
          <w:lang w:val="en-GB"/>
        </w:rPr>
        <w:t>16 September – 14 October 2022, Bucharest</w:t>
      </w:r>
    </w:p>
    <w:p w14:paraId="0C164423" w14:textId="387A90A4" w:rsidR="00F66489" w:rsidRPr="002F49B6" w:rsidRDefault="00F66489" w:rsidP="00925E20">
      <w:pPr>
        <w:spacing w:after="0" w:line="276" w:lineRule="auto"/>
        <w:jc w:val="both"/>
        <w:rPr>
          <w:rFonts w:cstheme="minorHAnsi"/>
          <w:b/>
          <w:bCs/>
          <w:sz w:val="24"/>
          <w:szCs w:val="24"/>
          <w:lang w:val="en-GB"/>
        </w:rPr>
      </w:pPr>
    </w:p>
    <w:p w14:paraId="0A02B300" w14:textId="77777777" w:rsidR="00CD5C10" w:rsidRPr="00300684" w:rsidRDefault="004F6CF1" w:rsidP="00925E20">
      <w:pPr>
        <w:pStyle w:val="ListParagraph"/>
        <w:numPr>
          <w:ilvl w:val="0"/>
          <w:numId w:val="1"/>
        </w:numPr>
        <w:spacing w:after="120" w:line="276" w:lineRule="auto"/>
        <w:ind w:left="714" w:hanging="357"/>
        <w:jc w:val="both"/>
        <w:rPr>
          <w:rFonts w:cstheme="minorHAnsi"/>
          <w:bCs/>
          <w:sz w:val="24"/>
          <w:szCs w:val="24"/>
          <w:lang w:val="en-GB"/>
        </w:rPr>
      </w:pPr>
      <w:r>
        <w:rPr>
          <w:rFonts w:cstheme="minorHAnsi"/>
          <w:sz w:val="24"/>
          <w:szCs w:val="24"/>
          <w:lang w:val="en-GB"/>
        </w:rPr>
        <w:t xml:space="preserve">Romania hosted the first ITU Plenipotentiary Conference in Europe since </w:t>
      </w:r>
      <w:r w:rsidR="00AD1E3D">
        <w:rPr>
          <w:rFonts w:cstheme="minorHAnsi"/>
          <w:sz w:val="24"/>
          <w:szCs w:val="24"/>
          <w:lang w:val="en-GB"/>
        </w:rPr>
        <w:t>2006</w:t>
      </w:r>
      <w:r w:rsidR="00D731E8">
        <w:rPr>
          <w:rFonts w:cstheme="minorHAnsi"/>
          <w:sz w:val="24"/>
          <w:szCs w:val="24"/>
          <w:lang w:val="en-GB"/>
        </w:rPr>
        <w:t>, in an unprecedented year in which WTDC and WTSA had also taken place</w:t>
      </w:r>
      <w:r w:rsidR="00AD1E3D">
        <w:rPr>
          <w:rFonts w:cstheme="minorHAnsi"/>
          <w:sz w:val="24"/>
          <w:szCs w:val="24"/>
          <w:lang w:val="en-GB"/>
        </w:rPr>
        <w:t xml:space="preserve">. </w:t>
      </w:r>
      <w:r w:rsidR="00D731E8">
        <w:rPr>
          <w:rFonts w:cstheme="minorHAnsi"/>
          <w:sz w:val="24"/>
          <w:szCs w:val="24"/>
          <w:lang w:val="en-GB"/>
        </w:rPr>
        <w:t xml:space="preserve">PP-22 was chaired by </w:t>
      </w:r>
      <w:r w:rsidR="00CD5C10" w:rsidRPr="00CD5C10">
        <w:rPr>
          <w:rFonts w:cstheme="minorHAnsi"/>
          <w:sz w:val="24"/>
          <w:szCs w:val="24"/>
          <w:lang w:val="en-GB"/>
        </w:rPr>
        <w:t>Mr Sabin Sărmaș</w:t>
      </w:r>
      <w:r w:rsidR="00CD5C10">
        <w:rPr>
          <w:rFonts w:cstheme="minorHAnsi"/>
          <w:sz w:val="24"/>
          <w:szCs w:val="24"/>
          <w:lang w:val="en-GB"/>
        </w:rPr>
        <w:t xml:space="preserve">. </w:t>
      </w:r>
    </w:p>
    <w:p w14:paraId="705B364A" w14:textId="07C5E6D9" w:rsidR="00F66489" w:rsidRPr="00CD2EA2" w:rsidRDefault="009C771C" w:rsidP="00925E20">
      <w:pPr>
        <w:pStyle w:val="ListParagraph"/>
        <w:numPr>
          <w:ilvl w:val="0"/>
          <w:numId w:val="1"/>
        </w:numPr>
        <w:spacing w:after="0" w:line="276" w:lineRule="auto"/>
        <w:jc w:val="both"/>
        <w:rPr>
          <w:rFonts w:cstheme="minorHAnsi"/>
          <w:bCs/>
          <w:sz w:val="24"/>
          <w:szCs w:val="24"/>
          <w:lang w:val="en-GB"/>
        </w:rPr>
      </w:pPr>
      <w:r w:rsidRPr="00CD2EA2">
        <w:rPr>
          <w:rFonts w:cstheme="minorHAnsi"/>
          <w:sz w:val="24"/>
          <w:szCs w:val="24"/>
          <w:lang w:val="en-GB"/>
        </w:rPr>
        <w:t>All information about the Conference</w:t>
      </w:r>
      <w:r w:rsidR="00F66489" w:rsidRPr="00CD2EA2">
        <w:rPr>
          <w:rFonts w:cstheme="minorHAnsi"/>
          <w:sz w:val="24"/>
          <w:szCs w:val="24"/>
          <w:lang w:val="en-GB"/>
        </w:rPr>
        <w:t xml:space="preserve"> </w:t>
      </w:r>
      <w:r w:rsidRPr="00CD2EA2">
        <w:rPr>
          <w:rFonts w:cstheme="minorHAnsi"/>
          <w:sz w:val="24"/>
          <w:szCs w:val="24"/>
          <w:lang w:val="en-GB"/>
        </w:rPr>
        <w:t xml:space="preserve">and the documents may be found at the </w:t>
      </w:r>
      <w:r w:rsidR="00CD2EA2" w:rsidRPr="00CD2EA2">
        <w:rPr>
          <w:rFonts w:cstheme="minorHAnsi"/>
          <w:sz w:val="24"/>
          <w:szCs w:val="24"/>
          <w:lang w:val="en-GB"/>
        </w:rPr>
        <w:t xml:space="preserve">PP-22 website: </w:t>
      </w:r>
      <w:hyperlink r:id="rId12" w:history="1">
        <w:r w:rsidR="00CD2EA2" w:rsidRPr="00CD2EA2">
          <w:rPr>
            <w:rStyle w:val="Hyperlink"/>
            <w:rFonts w:cstheme="minorHAnsi"/>
            <w:sz w:val="24"/>
            <w:szCs w:val="24"/>
            <w:lang w:val="en-GB"/>
          </w:rPr>
          <w:t>https://pp22.itu.int/en/</w:t>
        </w:r>
      </w:hyperlink>
      <w:r w:rsidR="00CD2EA2" w:rsidRPr="00CD2EA2">
        <w:rPr>
          <w:rFonts w:cstheme="minorHAnsi"/>
          <w:sz w:val="24"/>
          <w:szCs w:val="24"/>
          <w:lang w:val="en-GB"/>
        </w:rPr>
        <w:t xml:space="preserve"> </w:t>
      </w:r>
    </w:p>
    <w:p w14:paraId="5B3C7334" w14:textId="560A9B5A" w:rsidR="00E51038" w:rsidRPr="00393F9E" w:rsidRDefault="00C57E9C" w:rsidP="00182B38">
      <w:pPr>
        <w:pStyle w:val="ListParagraph"/>
        <w:numPr>
          <w:ilvl w:val="0"/>
          <w:numId w:val="1"/>
        </w:numPr>
        <w:spacing w:after="0" w:line="276" w:lineRule="auto"/>
        <w:ind w:left="714" w:hanging="357"/>
        <w:jc w:val="both"/>
        <w:rPr>
          <w:rFonts w:cstheme="minorHAnsi"/>
          <w:bCs/>
          <w:sz w:val="24"/>
          <w:szCs w:val="24"/>
          <w:lang w:val="en-GB"/>
        </w:rPr>
      </w:pPr>
      <w:r w:rsidRPr="00393F9E">
        <w:rPr>
          <w:rFonts w:cstheme="minorHAnsi"/>
          <w:sz w:val="24"/>
          <w:szCs w:val="24"/>
          <w:lang w:val="en-GB"/>
        </w:rPr>
        <w:t xml:space="preserve">CEPT </w:t>
      </w:r>
      <w:r w:rsidR="00BE1ECA" w:rsidRPr="00393F9E">
        <w:rPr>
          <w:rFonts w:cstheme="minorHAnsi"/>
          <w:sz w:val="24"/>
          <w:szCs w:val="24"/>
          <w:lang w:val="en-GB"/>
        </w:rPr>
        <w:t xml:space="preserve">gratefully </w:t>
      </w:r>
      <w:r w:rsidRPr="00393F9E">
        <w:rPr>
          <w:rFonts w:cstheme="minorHAnsi"/>
          <w:sz w:val="24"/>
          <w:szCs w:val="24"/>
          <w:lang w:val="en-GB"/>
        </w:rPr>
        <w:t xml:space="preserve">acknowledges </w:t>
      </w:r>
      <w:r w:rsidR="00BE1ECA" w:rsidRPr="00393F9E">
        <w:rPr>
          <w:rFonts w:cstheme="minorHAnsi"/>
          <w:sz w:val="24"/>
          <w:szCs w:val="24"/>
          <w:lang w:val="en-GB"/>
        </w:rPr>
        <w:t xml:space="preserve">the </w:t>
      </w:r>
      <w:r w:rsidR="002F6587" w:rsidRPr="00393F9E">
        <w:rPr>
          <w:rFonts w:cstheme="minorHAnsi"/>
          <w:sz w:val="24"/>
          <w:szCs w:val="24"/>
          <w:lang w:val="en-GB"/>
        </w:rPr>
        <w:t>excellent hosting by Romania and particularly the leading role played by our own Com-ITU Chair, Cristiana Flutur</w:t>
      </w:r>
      <w:r w:rsidR="00EA579A" w:rsidRPr="00393F9E">
        <w:rPr>
          <w:rFonts w:cstheme="minorHAnsi"/>
          <w:sz w:val="24"/>
          <w:szCs w:val="24"/>
          <w:lang w:val="en-GB"/>
        </w:rPr>
        <w:t>, as well as the conference chair and organising teams from both host country and ITU</w:t>
      </w:r>
      <w:r w:rsidR="002F6587" w:rsidRPr="00393F9E">
        <w:rPr>
          <w:rFonts w:cstheme="minorHAnsi"/>
          <w:sz w:val="24"/>
          <w:szCs w:val="24"/>
          <w:lang w:val="en-GB"/>
        </w:rPr>
        <w:t xml:space="preserve">. </w:t>
      </w:r>
      <w:r w:rsidR="00F909E7" w:rsidRPr="00393F9E">
        <w:rPr>
          <w:rFonts w:cstheme="minorHAnsi"/>
          <w:sz w:val="24"/>
          <w:szCs w:val="24"/>
          <w:lang w:val="en-GB"/>
        </w:rPr>
        <w:t xml:space="preserve">We are also grateful to ECO and </w:t>
      </w:r>
      <w:r w:rsidR="00945822" w:rsidRPr="00393F9E">
        <w:rPr>
          <w:rFonts w:cstheme="minorHAnsi"/>
          <w:sz w:val="24"/>
          <w:szCs w:val="24"/>
          <w:lang w:val="en-GB"/>
        </w:rPr>
        <w:t>especially Mr. Vassil Krastev,</w:t>
      </w:r>
      <w:r w:rsidR="00B64D8E" w:rsidRPr="00393F9E">
        <w:rPr>
          <w:rFonts w:cstheme="minorHAnsi"/>
          <w:sz w:val="24"/>
          <w:szCs w:val="24"/>
          <w:lang w:val="en-GB"/>
        </w:rPr>
        <w:t xml:space="preserve"> </w:t>
      </w:r>
      <w:r w:rsidR="00F909E7" w:rsidRPr="00393F9E">
        <w:rPr>
          <w:rFonts w:cstheme="minorHAnsi"/>
          <w:sz w:val="24"/>
          <w:szCs w:val="24"/>
          <w:lang w:val="en-GB"/>
        </w:rPr>
        <w:t xml:space="preserve">for </w:t>
      </w:r>
      <w:r w:rsidR="00393F9E" w:rsidRPr="00393F9E">
        <w:rPr>
          <w:rFonts w:cstheme="minorHAnsi"/>
          <w:sz w:val="24"/>
          <w:szCs w:val="24"/>
          <w:lang w:val="en-GB"/>
        </w:rPr>
        <w:t xml:space="preserve">their great support during the </w:t>
      </w:r>
      <w:r w:rsidR="00A5018D" w:rsidRPr="00393F9E">
        <w:rPr>
          <w:rFonts w:cstheme="minorHAnsi"/>
          <w:sz w:val="24"/>
          <w:szCs w:val="24"/>
          <w:lang w:val="en-GB"/>
        </w:rPr>
        <w:t>preparatory process</w:t>
      </w:r>
      <w:r w:rsidR="00393F9E" w:rsidRPr="00393F9E">
        <w:rPr>
          <w:rFonts w:cstheme="minorHAnsi"/>
          <w:sz w:val="24"/>
          <w:szCs w:val="24"/>
          <w:lang w:val="en-GB"/>
        </w:rPr>
        <w:t>.</w:t>
      </w:r>
      <w:r w:rsidR="00A5018D" w:rsidRPr="00393F9E">
        <w:rPr>
          <w:rFonts w:cstheme="minorHAnsi"/>
          <w:sz w:val="24"/>
          <w:szCs w:val="24"/>
          <w:lang w:val="en-GB"/>
        </w:rPr>
        <w:t xml:space="preserve"> </w:t>
      </w:r>
    </w:p>
    <w:p w14:paraId="11BF9DB9" w14:textId="77777777" w:rsidR="00E51038" w:rsidRPr="006C5A83" w:rsidRDefault="00E51038" w:rsidP="00925E20">
      <w:pPr>
        <w:spacing w:line="276" w:lineRule="auto"/>
        <w:jc w:val="both"/>
        <w:rPr>
          <w:rFonts w:cstheme="minorHAnsi"/>
          <w:b/>
          <w:bCs/>
          <w:sz w:val="24"/>
          <w:szCs w:val="24"/>
          <w:highlight w:val="yellow"/>
          <w:lang w:val="en-GB"/>
        </w:rPr>
      </w:pPr>
    </w:p>
    <w:p w14:paraId="69D07B43" w14:textId="513E878C" w:rsidR="00226454" w:rsidRPr="001C44EE" w:rsidRDefault="00EF5B4C" w:rsidP="00925E20">
      <w:pPr>
        <w:spacing w:line="276" w:lineRule="auto"/>
        <w:jc w:val="both"/>
        <w:rPr>
          <w:rFonts w:cstheme="minorHAnsi"/>
          <w:b/>
          <w:bCs/>
          <w:sz w:val="24"/>
          <w:szCs w:val="24"/>
          <w:lang w:val="en-GB"/>
        </w:rPr>
      </w:pPr>
      <w:r w:rsidRPr="001C44EE">
        <w:rPr>
          <w:rFonts w:cstheme="minorHAnsi"/>
          <w:b/>
          <w:bCs/>
          <w:sz w:val="24"/>
          <w:szCs w:val="24"/>
          <w:lang w:val="en-GB"/>
        </w:rPr>
        <w:t xml:space="preserve">1. </w:t>
      </w:r>
      <w:r w:rsidR="00226454" w:rsidRPr="001C44EE">
        <w:rPr>
          <w:rFonts w:cstheme="minorHAnsi"/>
          <w:b/>
          <w:bCs/>
          <w:sz w:val="24"/>
          <w:szCs w:val="24"/>
          <w:lang w:val="en-GB"/>
        </w:rPr>
        <w:t xml:space="preserve">Preparation for </w:t>
      </w:r>
      <w:r w:rsidR="00820B5C" w:rsidRPr="001C44EE">
        <w:rPr>
          <w:rFonts w:cstheme="minorHAnsi"/>
          <w:b/>
          <w:bCs/>
          <w:sz w:val="24"/>
          <w:szCs w:val="24"/>
          <w:lang w:val="en-GB"/>
        </w:rPr>
        <w:t>PP</w:t>
      </w:r>
      <w:r w:rsidR="00226454" w:rsidRPr="001C44EE">
        <w:rPr>
          <w:rFonts w:cstheme="minorHAnsi"/>
          <w:b/>
          <w:bCs/>
          <w:sz w:val="24"/>
          <w:szCs w:val="24"/>
          <w:lang w:val="en-GB"/>
        </w:rPr>
        <w:t>-22</w:t>
      </w:r>
    </w:p>
    <w:p w14:paraId="2A89D23C" w14:textId="6EC0BA49" w:rsidR="00820B5C" w:rsidRPr="001C44EE" w:rsidRDefault="00820B5C" w:rsidP="00925E20">
      <w:pPr>
        <w:spacing w:line="276" w:lineRule="auto"/>
        <w:jc w:val="both"/>
        <w:rPr>
          <w:rFonts w:cstheme="minorHAnsi"/>
          <w:sz w:val="24"/>
          <w:szCs w:val="24"/>
          <w:lang w:val="en-GB"/>
        </w:rPr>
      </w:pPr>
      <w:r w:rsidRPr="001C44EE">
        <w:rPr>
          <w:rFonts w:cstheme="minorHAnsi"/>
          <w:sz w:val="24"/>
          <w:szCs w:val="24"/>
          <w:lang w:val="en-GB"/>
        </w:rPr>
        <w:t xml:space="preserve">In 2021 Com-ITU established two project teams, </w:t>
      </w:r>
      <w:r w:rsidR="00A0647F" w:rsidRPr="001C44EE">
        <w:rPr>
          <w:rFonts w:cstheme="minorHAnsi"/>
          <w:sz w:val="24"/>
          <w:szCs w:val="24"/>
          <w:lang w:val="en-GB"/>
        </w:rPr>
        <w:t>PT</w:t>
      </w:r>
      <w:r w:rsidR="00C2604B" w:rsidRPr="001C44EE">
        <w:rPr>
          <w:rFonts w:cstheme="minorHAnsi"/>
          <w:sz w:val="24"/>
          <w:szCs w:val="24"/>
          <w:lang w:val="en-GB"/>
        </w:rPr>
        <w:t xml:space="preserve"> PP22-Policy chaired by Mr. Oli Bird</w:t>
      </w:r>
      <w:r w:rsidR="00026EC4" w:rsidRPr="001C44EE">
        <w:rPr>
          <w:rFonts w:cstheme="minorHAnsi"/>
          <w:sz w:val="24"/>
          <w:szCs w:val="24"/>
          <w:lang w:val="en-GB"/>
        </w:rPr>
        <w:t xml:space="preserve"> (UK)</w:t>
      </w:r>
      <w:r w:rsidR="00C2604B" w:rsidRPr="001C44EE">
        <w:rPr>
          <w:rFonts w:cstheme="minorHAnsi"/>
          <w:sz w:val="24"/>
          <w:szCs w:val="24"/>
          <w:lang w:val="en-GB"/>
        </w:rPr>
        <w:t>, and PT PP22-FIMO chaired by Mr. Wojciech B</w:t>
      </w:r>
      <w:r w:rsidR="00026EC4" w:rsidRPr="001C44EE">
        <w:rPr>
          <w:rFonts w:cstheme="minorHAnsi"/>
          <w:sz w:val="24"/>
          <w:szCs w:val="24"/>
          <w:lang w:val="en-GB"/>
        </w:rPr>
        <w:t xml:space="preserve">erezowski (Poland), to prepare </w:t>
      </w:r>
      <w:r w:rsidR="00D67ECD" w:rsidRPr="001C44EE">
        <w:rPr>
          <w:rFonts w:cstheme="minorHAnsi"/>
          <w:sz w:val="24"/>
          <w:szCs w:val="24"/>
          <w:lang w:val="en-GB"/>
        </w:rPr>
        <w:t xml:space="preserve">CEPT </w:t>
      </w:r>
      <w:r w:rsidR="00313F6D" w:rsidRPr="001C44EE">
        <w:rPr>
          <w:rFonts w:cstheme="minorHAnsi"/>
          <w:sz w:val="24"/>
          <w:szCs w:val="24"/>
          <w:lang w:val="en-GB"/>
        </w:rPr>
        <w:t xml:space="preserve">contributions </w:t>
      </w:r>
      <w:r w:rsidR="00416CDB" w:rsidRPr="001C44EE">
        <w:rPr>
          <w:rFonts w:cstheme="minorHAnsi"/>
          <w:sz w:val="24"/>
          <w:szCs w:val="24"/>
          <w:lang w:val="en-GB"/>
        </w:rPr>
        <w:t xml:space="preserve">for, </w:t>
      </w:r>
      <w:r w:rsidR="00D67ECD" w:rsidRPr="001C44EE">
        <w:rPr>
          <w:rFonts w:cstheme="minorHAnsi"/>
          <w:sz w:val="24"/>
          <w:szCs w:val="24"/>
          <w:lang w:val="en-GB"/>
        </w:rPr>
        <w:t xml:space="preserve">and </w:t>
      </w:r>
      <w:r w:rsidR="00416CDB" w:rsidRPr="001C44EE">
        <w:rPr>
          <w:rFonts w:cstheme="minorHAnsi"/>
          <w:sz w:val="24"/>
          <w:szCs w:val="24"/>
          <w:lang w:val="en-GB"/>
        </w:rPr>
        <w:t xml:space="preserve">coordinate </w:t>
      </w:r>
      <w:r w:rsidR="00313F6D" w:rsidRPr="001C44EE">
        <w:rPr>
          <w:rFonts w:cstheme="minorHAnsi"/>
          <w:sz w:val="24"/>
          <w:szCs w:val="24"/>
          <w:lang w:val="en-GB"/>
        </w:rPr>
        <w:t xml:space="preserve">positions at </w:t>
      </w:r>
      <w:r w:rsidR="00D67ECD" w:rsidRPr="001C44EE">
        <w:rPr>
          <w:rFonts w:cstheme="minorHAnsi"/>
          <w:sz w:val="24"/>
          <w:szCs w:val="24"/>
          <w:lang w:val="en-GB"/>
        </w:rPr>
        <w:t>PP</w:t>
      </w:r>
      <w:r w:rsidR="00313F6D" w:rsidRPr="001C44EE">
        <w:rPr>
          <w:rFonts w:cstheme="minorHAnsi"/>
          <w:sz w:val="24"/>
          <w:szCs w:val="24"/>
          <w:lang w:val="en-GB"/>
        </w:rPr>
        <w:t xml:space="preserve">-22, respectively on policy </w:t>
      </w:r>
      <w:r w:rsidR="00856E0B" w:rsidRPr="001C44EE">
        <w:rPr>
          <w:rFonts w:cstheme="minorHAnsi"/>
          <w:sz w:val="24"/>
          <w:szCs w:val="24"/>
          <w:lang w:val="en-GB"/>
        </w:rPr>
        <w:t xml:space="preserve">and financial/management </w:t>
      </w:r>
      <w:r w:rsidR="00313F6D" w:rsidRPr="001C44EE">
        <w:rPr>
          <w:rFonts w:cstheme="minorHAnsi"/>
          <w:sz w:val="24"/>
          <w:szCs w:val="24"/>
          <w:lang w:val="en-GB"/>
        </w:rPr>
        <w:t>issues</w:t>
      </w:r>
      <w:r w:rsidR="00856E0B" w:rsidRPr="001C44EE">
        <w:rPr>
          <w:rFonts w:cstheme="minorHAnsi"/>
          <w:sz w:val="24"/>
          <w:szCs w:val="24"/>
          <w:lang w:val="en-GB"/>
        </w:rPr>
        <w:t>.</w:t>
      </w:r>
    </w:p>
    <w:p w14:paraId="036CB869" w14:textId="399534B0" w:rsidR="00856E0B" w:rsidRDefault="00661C9E" w:rsidP="00925E20">
      <w:pPr>
        <w:shd w:val="clear" w:color="auto" w:fill="FFFFFF"/>
        <w:spacing w:after="0" w:line="276" w:lineRule="auto"/>
        <w:jc w:val="both"/>
        <w:rPr>
          <w:rFonts w:cstheme="minorHAnsi"/>
          <w:sz w:val="24"/>
          <w:szCs w:val="24"/>
          <w:lang w:val="en-GB"/>
        </w:rPr>
      </w:pPr>
      <w:r w:rsidRPr="001C44EE">
        <w:rPr>
          <w:rFonts w:cstheme="minorHAnsi"/>
          <w:sz w:val="24"/>
          <w:szCs w:val="24"/>
          <w:lang w:val="en-GB"/>
        </w:rPr>
        <w:t xml:space="preserve">The PTs held a joint first meeting on 2 March 2021, and </w:t>
      </w:r>
      <w:r w:rsidR="000C35B8" w:rsidRPr="001C44EE">
        <w:rPr>
          <w:rFonts w:cstheme="minorHAnsi"/>
          <w:sz w:val="24"/>
          <w:szCs w:val="24"/>
          <w:lang w:val="en-GB"/>
        </w:rPr>
        <w:t>PT</w:t>
      </w:r>
      <w:r w:rsidR="008E1A31" w:rsidRPr="001C44EE">
        <w:rPr>
          <w:rFonts w:cstheme="minorHAnsi"/>
          <w:sz w:val="24"/>
          <w:szCs w:val="24"/>
          <w:lang w:val="en-GB"/>
        </w:rPr>
        <w:t>-Policy</w:t>
      </w:r>
      <w:r w:rsidR="000C35B8" w:rsidRPr="001C44EE">
        <w:rPr>
          <w:rFonts w:cstheme="minorHAnsi"/>
          <w:sz w:val="24"/>
          <w:szCs w:val="24"/>
          <w:lang w:val="en-GB"/>
        </w:rPr>
        <w:t xml:space="preserve"> </w:t>
      </w:r>
      <w:r w:rsidRPr="001C44EE">
        <w:rPr>
          <w:rFonts w:cstheme="minorHAnsi"/>
          <w:sz w:val="24"/>
          <w:szCs w:val="24"/>
          <w:lang w:val="en-GB"/>
        </w:rPr>
        <w:t xml:space="preserve">went on to hold </w:t>
      </w:r>
      <w:r w:rsidR="00084F58" w:rsidRPr="001C44EE">
        <w:rPr>
          <w:rFonts w:cstheme="minorHAnsi"/>
          <w:sz w:val="24"/>
          <w:szCs w:val="24"/>
          <w:lang w:val="en-GB"/>
        </w:rPr>
        <w:t xml:space="preserve">11 meetings </w:t>
      </w:r>
      <w:r w:rsidR="008E1A31" w:rsidRPr="001C44EE">
        <w:rPr>
          <w:rFonts w:cstheme="minorHAnsi"/>
          <w:sz w:val="24"/>
          <w:szCs w:val="24"/>
          <w:lang w:val="en-GB"/>
        </w:rPr>
        <w:t>(</w:t>
      </w:r>
      <w:r w:rsidR="00084F58" w:rsidRPr="001C44EE">
        <w:rPr>
          <w:rFonts w:cstheme="minorHAnsi"/>
          <w:sz w:val="24"/>
          <w:szCs w:val="24"/>
          <w:lang w:val="en-GB"/>
        </w:rPr>
        <w:t xml:space="preserve">plus two informal meetings jointly with </w:t>
      </w:r>
      <w:r w:rsidR="001E7B7E" w:rsidRPr="001C44EE">
        <w:rPr>
          <w:rFonts w:cstheme="minorHAnsi"/>
          <w:sz w:val="24"/>
          <w:szCs w:val="24"/>
          <w:lang w:val="en-GB"/>
        </w:rPr>
        <w:t>CEPT PTB, to discuss the specific issue of Article 48 of the ITU Constitution regarding space issues)</w:t>
      </w:r>
      <w:r w:rsidR="003C0052" w:rsidRPr="001C44EE">
        <w:rPr>
          <w:rFonts w:cstheme="minorHAnsi"/>
          <w:sz w:val="24"/>
          <w:szCs w:val="24"/>
          <w:lang w:val="en-GB"/>
        </w:rPr>
        <w:t>; PT-FIMO held 10 meetings</w:t>
      </w:r>
      <w:r w:rsidR="001E7B7E" w:rsidRPr="001C44EE">
        <w:rPr>
          <w:rFonts w:cstheme="minorHAnsi"/>
          <w:sz w:val="24"/>
          <w:szCs w:val="24"/>
          <w:lang w:val="en-GB"/>
        </w:rPr>
        <w:t>.</w:t>
      </w:r>
    </w:p>
    <w:p w14:paraId="1851A7BF" w14:textId="77777777" w:rsidR="001C44EE" w:rsidRDefault="001C44EE" w:rsidP="00925E20">
      <w:pPr>
        <w:shd w:val="clear" w:color="auto" w:fill="FFFFFF"/>
        <w:spacing w:after="0" w:line="276" w:lineRule="auto"/>
        <w:jc w:val="both"/>
        <w:rPr>
          <w:rFonts w:cstheme="minorHAnsi"/>
          <w:sz w:val="24"/>
          <w:szCs w:val="24"/>
          <w:lang w:val="en-GB"/>
        </w:rPr>
      </w:pPr>
    </w:p>
    <w:p w14:paraId="4A656E91" w14:textId="1F43C240" w:rsidR="001C44EE" w:rsidRPr="001C44EE" w:rsidRDefault="001C44EE" w:rsidP="00925E20">
      <w:pPr>
        <w:shd w:val="clear" w:color="auto" w:fill="FFFFFF"/>
        <w:spacing w:after="0" w:line="276" w:lineRule="auto"/>
        <w:jc w:val="both"/>
        <w:rPr>
          <w:rFonts w:cstheme="minorHAnsi"/>
          <w:sz w:val="24"/>
          <w:szCs w:val="24"/>
          <w:lang w:val="en-GB"/>
        </w:rPr>
      </w:pPr>
      <w:r>
        <w:rPr>
          <w:rFonts w:cstheme="minorHAnsi"/>
          <w:sz w:val="24"/>
          <w:szCs w:val="24"/>
          <w:lang w:val="en-GB"/>
        </w:rPr>
        <w:t>The Chairs of the PTs alongside the Com-ITU Chair participated in three Inter-Regional meetings to prepare for PP-22</w:t>
      </w:r>
      <w:r w:rsidR="008A4E49">
        <w:rPr>
          <w:rFonts w:cstheme="minorHAnsi"/>
          <w:sz w:val="24"/>
          <w:szCs w:val="24"/>
          <w:lang w:val="en-GB"/>
        </w:rPr>
        <w:t>, as well as attending a number of meetings of other RTOs, to share updates on CEPT’s preparations. Other RTOs were invited to attend all PT meetings</w:t>
      </w:r>
      <w:r w:rsidR="00C03F44">
        <w:rPr>
          <w:rFonts w:cstheme="minorHAnsi"/>
          <w:sz w:val="24"/>
          <w:szCs w:val="24"/>
          <w:lang w:val="en-GB"/>
        </w:rPr>
        <w:t>.</w:t>
      </w:r>
    </w:p>
    <w:p w14:paraId="01A1331B" w14:textId="77777777" w:rsidR="00E51038" w:rsidRPr="006C5A83" w:rsidRDefault="00E51038" w:rsidP="00925E20">
      <w:pPr>
        <w:spacing w:after="240" w:line="276" w:lineRule="auto"/>
        <w:jc w:val="both"/>
        <w:rPr>
          <w:rFonts w:cstheme="minorHAnsi"/>
          <w:sz w:val="24"/>
          <w:szCs w:val="24"/>
          <w:highlight w:val="yellow"/>
          <w:lang w:val="en-GB" w:eastAsia="sv-SE"/>
        </w:rPr>
      </w:pPr>
    </w:p>
    <w:p w14:paraId="059AD7AA" w14:textId="7BDDE19D" w:rsidR="00226454" w:rsidRPr="00DE7DDB" w:rsidRDefault="00EF5B4C" w:rsidP="00925E20">
      <w:pPr>
        <w:spacing w:line="276" w:lineRule="auto"/>
        <w:jc w:val="both"/>
        <w:rPr>
          <w:rFonts w:cstheme="minorHAnsi"/>
          <w:b/>
          <w:bCs/>
          <w:sz w:val="24"/>
          <w:szCs w:val="24"/>
          <w:lang w:val="en-GB"/>
        </w:rPr>
      </w:pPr>
      <w:r w:rsidRPr="00DE7DDB">
        <w:rPr>
          <w:rFonts w:cstheme="minorHAnsi"/>
          <w:b/>
          <w:bCs/>
          <w:sz w:val="24"/>
          <w:szCs w:val="24"/>
          <w:lang w:val="en-GB"/>
        </w:rPr>
        <w:t xml:space="preserve">2. </w:t>
      </w:r>
      <w:r w:rsidR="00226454" w:rsidRPr="00DE7DDB">
        <w:rPr>
          <w:rFonts w:cstheme="minorHAnsi"/>
          <w:b/>
          <w:bCs/>
          <w:sz w:val="24"/>
          <w:szCs w:val="24"/>
          <w:lang w:val="en-GB"/>
        </w:rPr>
        <w:t xml:space="preserve">CEPT participation at </w:t>
      </w:r>
      <w:r w:rsidR="00D157F7" w:rsidRPr="00DE7DDB">
        <w:rPr>
          <w:rFonts w:cstheme="minorHAnsi"/>
          <w:b/>
          <w:bCs/>
          <w:sz w:val="24"/>
          <w:szCs w:val="24"/>
          <w:lang w:val="en-GB"/>
        </w:rPr>
        <w:t>PP-22</w:t>
      </w:r>
    </w:p>
    <w:p w14:paraId="4582FA76" w14:textId="0218B4B5" w:rsidR="000066DC" w:rsidRDefault="000066DC" w:rsidP="00E51038">
      <w:pPr>
        <w:spacing w:after="240" w:line="276" w:lineRule="auto"/>
        <w:jc w:val="both"/>
        <w:rPr>
          <w:rFonts w:cstheme="minorHAnsi"/>
          <w:sz w:val="24"/>
          <w:szCs w:val="24"/>
          <w:lang w:val="en-GB" w:eastAsia="sv-SE"/>
        </w:rPr>
      </w:pPr>
      <w:r w:rsidRPr="00DE7DDB">
        <w:rPr>
          <w:rFonts w:cstheme="minorHAnsi"/>
          <w:sz w:val="24"/>
          <w:szCs w:val="24"/>
          <w:lang w:val="en-GB" w:eastAsia="sv-SE"/>
        </w:rPr>
        <w:t xml:space="preserve">CEPT </w:t>
      </w:r>
      <w:r w:rsidR="00387582" w:rsidRPr="00DE7DDB">
        <w:rPr>
          <w:rFonts w:cstheme="minorHAnsi"/>
          <w:sz w:val="24"/>
          <w:szCs w:val="24"/>
          <w:lang w:val="en-GB" w:eastAsia="sv-SE"/>
        </w:rPr>
        <w:t xml:space="preserve">prepared a Vision for ITU (ECP1) and a further </w:t>
      </w:r>
      <w:r w:rsidR="00DE7DDB" w:rsidRPr="00DE7DDB">
        <w:rPr>
          <w:rFonts w:cstheme="minorHAnsi"/>
          <w:sz w:val="24"/>
          <w:szCs w:val="24"/>
          <w:lang w:val="en-GB" w:eastAsia="sv-SE"/>
        </w:rPr>
        <w:t>26 ECPs as a result of the work of the Project Teams.</w:t>
      </w:r>
      <w:r w:rsidR="00DE7DDB">
        <w:rPr>
          <w:rFonts w:cstheme="minorHAnsi"/>
          <w:sz w:val="24"/>
          <w:szCs w:val="24"/>
          <w:lang w:val="en-GB" w:eastAsia="sv-SE"/>
        </w:rPr>
        <w:t xml:space="preserve"> Additionally CEPT prepared a Brief with </w:t>
      </w:r>
      <w:r w:rsidR="00840AB1">
        <w:rPr>
          <w:rFonts w:cstheme="minorHAnsi"/>
          <w:sz w:val="24"/>
          <w:szCs w:val="24"/>
          <w:lang w:val="en-GB" w:eastAsia="sv-SE"/>
        </w:rPr>
        <w:t xml:space="preserve">European positions on a wider set of resolutions and issues, with additional background information and a list of coordinators. The final Brief was adopted during the first coordination meeting at PP-22 on </w:t>
      </w:r>
      <w:r w:rsidR="00334EB1">
        <w:rPr>
          <w:rFonts w:cstheme="minorHAnsi"/>
          <w:sz w:val="24"/>
          <w:szCs w:val="24"/>
          <w:lang w:val="en-GB" w:eastAsia="sv-SE"/>
        </w:rPr>
        <w:t>26 September 2022.</w:t>
      </w:r>
      <w:r w:rsidR="00840AB1">
        <w:rPr>
          <w:rFonts w:cstheme="minorHAnsi"/>
          <w:sz w:val="24"/>
          <w:szCs w:val="24"/>
          <w:lang w:val="en-GB" w:eastAsia="sv-SE"/>
        </w:rPr>
        <w:t xml:space="preserve"> </w:t>
      </w:r>
    </w:p>
    <w:p w14:paraId="0F316F3C" w14:textId="43993E7B" w:rsidR="00334EB1" w:rsidRDefault="00334EB1" w:rsidP="00E51038">
      <w:pPr>
        <w:spacing w:after="240" w:line="276" w:lineRule="auto"/>
        <w:jc w:val="both"/>
        <w:rPr>
          <w:rFonts w:cstheme="minorHAnsi"/>
          <w:sz w:val="24"/>
          <w:szCs w:val="24"/>
          <w:lang w:val="en-GB" w:eastAsia="sv-SE"/>
        </w:rPr>
      </w:pPr>
      <w:r>
        <w:rPr>
          <w:rFonts w:cstheme="minorHAnsi"/>
          <w:sz w:val="24"/>
          <w:szCs w:val="24"/>
          <w:lang w:val="en-GB" w:eastAsia="sv-SE"/>
        </w:rPr>
        <w:t xml:space="preserve">Daily coordination meetings were held during the PP, with </w:t>
      </w:r>
      <w:r w:rsidR="00E05A1E">
        <w:rPr>
          <w:rFonts w:cstheme="minorHAnsi"/>
          <w:sz w:val="24"/>
          <w:szCs w:val="24"/>
          <w:lang w:val="en-GB" w:eastAsia="sv-SE"/>
        </w:rPr>
        <w:t xml:space="preserve">use of a WhatsApp group to coordinate among colleagues in real time as discussions progressed. </w:t>
      </w:r>
    </w:p>
    <w:p w14:paraId="7747FDDC" w14:textId="16BE91DB" w:rsidR="00765E47" w:rsidRDefault="00765E47" w:rsidP="00E51038">
      <w:pPr>
        <w:spacing w:after="240" w:line="276" w:lineRule="auto"/>
        <w:jc w:val="both"/>
        <w:rPr>
          <w:rFonts w:cstheme="minorHAnsi"/>
          <w:sz w:val="24"/>
          <w:szCs w:val="24"/>
          <w:lang w:val="en-GB" w:eastAsia="sv-SE"/>
        </w:rPr>
      </w:pPr>
      <w:r>
        <w:rPr>
          <w:rFonts w:cstheme="minorHAnsi"/>
          <w:sz w:val="24"/>
          <w:szCs w:val="24"/>
          <w:lang w:val="en-GB" w:eastAsia="sv-SE"/>
        </w:rPr>
        <w:t xml:space="preserve">The Com-ITU Chair and PT Policy Chair </w:t>
      </w:r>
      <w:r w:rsidR="00784BAE">
        <w:rPr>
          <w:rFonts w:cstheme="minorHAnsi"/>
          <w:sz w:val="24"/>
          <w:szCs w:val="24"/>
          <w:lang w:val="en-GB" w:eastAsia="sv-SE"/>
        </w:rPr>
        <w:t xml:space="preserve">(as Vice-Chair of the PP) </w:t>
      </w:r>
      <w:r>
        <w:rPr>
          <w:rFonts w:cstheme="minorHAnsi"/>
          <w:sz w:val="24"/>
          <w:szCs w:val="24"/>
          <w:lang w:val="en-GB" w:eastAsia="sv-SE"/>
        </w:rPr>
        <w:t xml:space="preserve">participated in some inter-regional discussions during the </w:t>
      </w:r>
      <w:r w:rsidR="00C04F0E">
        <w:rPr>
          <w:rFonts w:cstheme="minorHAnsi"/>
          <w:sz w:val="24"/>
          <w:szCs w:val="24"/>
          <w:lang w:val="en-GB" w:eastAsia="sv-SE"/>
        </w:rPr>
        <w:t xml:space="preserve">PP aimed at reaching consensus on some of the more difficult topics. </w:t>
      </w:r>
    </w:p>
    <w:p w14:paraId="08139E9D" w14:textId="73B8A381" w:rsidR="00E16914" w:rsidRPr="002F49B6" w:rsidRDefault="00E16914" w:rsidP="001B29AE">
      <w:pPr>
        <w:tabs>
          <w:tab w:val="left" w:pos="1910"/>
        </w:tabs>
        <w:spacing w:after="0" w:line="276" w:lineRule="auto"/>
        <w:jc w:val="both"/>
        <w:rPr>
          <w:rFonts w:cstheme="minorHAnsi"/>
          <w:sz w:val="24"/>
          <w:szCs w:val="24"/>
          <w:lang w:val="en-GB" w:eastAsia="sv-SE"/>
        </w:rPr>
      </w:pPr>
      <w:r w:rsidRPr="002F49B6">
        <w:rPr>
          <w:rFonts w:cstheme="minorHAnsi"/>
          <w:sz w:val="24"/>
          <w:szCs w:val="24"/>
          <w:lang w:val="en-GB" w:eastAsia="sv-SE"/>
        </w:rPr>
        <w:tab/>
      </w:r>
    </w:p>
    <w:p w14:paraId="16941570" w14:textId="5B05F713" w:rsidR="00226454" w:rsidRPr="002F49B6" w:rsidRDefault="00EF5B4C" w:rsidP="00925E20">
      <w:pPr>
        <w:spacing w:line="276" w:lineRule="auto"/>
        <w:jc w:val="both"/>
        <w:rPr>
          <w:rFonts w:cstheme="minorHAnsi"/>
          <w:b/>
          <w:bCs/>
          <w:sz w:val="24"/>
          <w:szCs w:val="24"/>
          <w:lang w:val="en-GB"/>
        </w:rPr>
      </w:pPr>
      <w:r w:rsidRPr="002F49B6">
        <w:rPr>
          <w:rFonts w:cstheme="minorHAnsi"/>
          <w:b/>
          <w:bCs/>
          <w:sz w:val="24"/>
          <w:szCs w:val="24"/>
          <w:lang w:val="en-GB"/>
        </w:rPr>
        <w:t xml:space="preserve">2.1. </w:t>
      </w:r>
      <w:r w:rsidR="0071029C">
        <w:rPr>
          <w:rFonts w:cstheme="minorHAnsi"/>
          <w:b/>
          <w:bCs/>
          <w:sz w:val="24"/>
          <w:szCs w:val="24"/>
          <w:lang w:val="en-GB"/>
        </w:rPr>
        <w:t xml:space="preserve">CEPT participation in </w:t>
      </w:r>
      <w:r w:rsidR="00677BC6" w:rsidRPr="002F49B6">
        <w:rPr>
          <w:rFonts w:cstheme="minorHAnsi"/>
          <w:b/>
          <w:bCs/>
          <w:sz w:val="24"/>
          <w:szCs w:val="24"/>
          <w:lang w:val="en-GB"/>
        </w:rPr>
        <w:t>C</w:t>
      </w:r>
      <w:r w:rsidR="00226454" w:rsidRPr="002F49B6">
        <w:rPr>
          <w:rFonts w:cstheme="minorHAnsi"/>
          <w:b/>
          <w:bCs/>
          <w:sz w:val="24"/>
          <w:szCs w:val="24"/>
          <w:lang w:val="en-GB"/>
        </w:rPr>
        <w:t>onference</w:t>
      </w:r>
      <w:r w:rsidR="0071029C">
        <w:rPr>
          <w:rFonts w:cstheme="minorHAnsi"/>
          <w:b/>
          <w:bCs/>
          <w:sz w:val="24"/>
          <w:szCs w:val="24"/>
          <w:lang w:val="en-GB"/>
        </w:rPr>
        <w:t xml:space="preserve"> leadership</w:t>
      </w:r>
    </w:p>
    <w:p w14:paraId="3A045745" w14:textId="560EAAA3" w:rsidR="002A517D" w:rsidRPr="002F49B6" w:rsidRDefault="00540048" w:rsidP="00CC23A9">
      <w:pPr>
        <w:spacing w:after="120" w:line="276" w:lineRule="auto"/>
        <w:jc w:val="both"/>
        <w:rPr>
          <w:rFonts w:cstheme="minorHAnsi"/>
          <w:sz w:val="24"/>
          <w:szCs w:val="24"/>
          <w:lang w:val="en-GB"/>
        </w:rPr>
      </w:pPr>
      <w:r w:rsidRPr="002F49B6">
        <w:rPr>
          <w:rFonts w:cstheme="minorHAnsi"/>
          <w:sz w:val="24"/>
          <w:szCs w:val="24"/>
          <w:lang w:val="en-GB"/>
        </w:rPr>
        <w:lastRenderedPageBreak/>
        <w:t xml:space="preserve">CEPT was represented in the main bodies of the Conference </w:t>
      </w:r>
      <w:r w:rsidR="001072A6" w:rsidRPr="002F49B6">
        <w:rPr>
          <w:rFonts w:cstheme="minorHAnsi"/>
          <w:sz w:val="24"/>
          <w:szCs w:val="24"/>
          <w:lang w:val="en-GB"/>
        </w:rPr>
        <w:t xml:space="preserve">by the </w:t>
      </w:r>
      <w:r w:rsidR="00194673" w:rsidRPr="002F49B6">
        <w:rPr>
          <w:rFonts w:cstheme="minorHAnsi"/>
          <w:sz w:val="24"/>
          <w:szCs w:val="24"/>
          <w:lang w:val="en-GB"/>
        </w:rPr>
        <w:t>Chairs and the Vice-Chairs from the region:</w:t>
      </w:r>
      <w:r w:rsidRPr="002F49B6">
        <w:rPr>
          <w:rFonts w:cstheme="minorHAnsi"/>
          <w:sz w:val="24"/>
          <w:szCs w:val="24"/>
          <w:lang w:val="en-GB"/>
        </w:rPr>
        <w:t xml:space="preserve"> </w:t>
      </w:r>
    </w:p>
    <w:p w14:paraId="37B24E31" w14:textId="5FD3DB26" w:rsidR="00896BFF" w:rsidRPr="002F49B6" w:rsidRDefault="00896BFF" w:rsidP="00C919E4">
      <w:pPr>
        <w:spacing w:after="0" w:line="276" w:lineRule="auto"/>
        <w:ind w:left="720"/>
        <w:jc w:val="both"/>
        <w:rPr>
          <w:rFonts w:cstheme="minorHAnsi"/>
          <w:sz w:val="24"/>
          <w:szCs w:val="24"/>
          <w:lang w:val="en-GB"/>
        </w:rPr>
      </w:pPr>
      <w:r w:rsidRPr="002F49B6">
        <w:rPr>
          <w:rFonts w:cstheme="minorHAnsi"/>
          <w:sz w:val="24"/>
          <w:szCs w:val="24"/>
          <w:lang w:val="en-GB"/>
        </w:rPr>
        <w:t>Committee 1 (Steering</w:t>
      </w:r>
      <w:r w:rsidR="0094775B" w:rsidRPr="002F49B6">
        <w:rPr>
          <w:rFonts w:cstheme="minorHAnsi"/>
          <w:sz w:val="24"/>
          <w:szCs w:val="24"/>
          <w:lang w:val="en-GB"/>
        </w:rPr>
        <w:t xml:space="preserve"> </w:t>
      </w:r>
      <w:r w:rsidR="002A517D" w:rsidRPr="002F49B6">
        <w:rPr>
          <w:rFonts w:cstheme="minorHAnsi"/>
          <w:sz w:val="24"/>
          <w:szCs w:val="24"/>
          <w:lang w:val="en-GB"/>
        </w:rPr>
        <w:t>C</w:t>
      </w:r>
      <w:r w:rsidR="0094775B" w:rsidRPr="002F49B6">
        <w:rPr>
          <w:rFonts w:cstheme="minorHAnsi"/>
          <w:sz w:val="24"/>
          <w:szCs w:val="24"/>
          <w:lang w:val="en-GB"/>
        </w:rPr>
        <w:t>ommittee)</w:t>
      </w:r>
      <w:r w:rsidR="00FF0BEF">
        <w:rPr>
          <w:rFonts w:cstheme="minorHAnsi"/>
          <w:sz w:val="24"/>
          <w:szCs w:val="24"/>
          <w:lang w:val="en-GB"/>
        </w:rPr>
        <w:t xml:space="preserve"> Vice-Chair/</w:t>
      </w:r>
      <w:r w:rsidR="00FF0BEF" w:rsidRPr="002F49B6">
        <w:rPr>
          <w:rFonts w:cstheme="minorHAnsi"/>
          <w:sz w:val="24"/>
          <w:szCs w:val="24"/>
          <w:lang w:val="en-GB"/>
        </w:rPr>
        <w:t>Vice-Chair of the Conference</w:t>
      </w:r>
      <w:r w:rsidR="0094775B" w:rsidRPr="002F49B6">
        <w:rPr>
          <w:rFonts w:cstheme="minorHAnsi"/>
          <w:sz w:val="24"/>
          <w:szCs w:val="24"/>
          <w:lang w:val="en-GB"/>
        </w:rPr>
        <w:t xml:space="preserve">: </w:t>
      </w:r>
    </w:p>
    <w:p w14:paraId="3EF4F835" w14:textId="3E8E53AE" w:rsidR="001072A6" w:rsidRPr="00FF0BEF" w:rsidRDefault="00AF11F6" w:rsidP="00FF0BEF">
      <w:pPr>
        <w:pStyle w:val="ListParagraph"/>
        <w:numPr>
          <w:ilvl w:val="0"/>
          <w:numId w:val="14"/>
        </w:numPr>
        <w:spacing w:after="0" w:line="276" w:lineRule="auto"/>
        <w:ind w:left="1440"/>
        <w:jc w:val="both"/>
        <w:rPr>
          <w:rFonts w:cstheme="minorHAnsi"/>
          <w:sz w:val="24"/>
          <w:szCs w:val="24"/>
          <w:lang w:val="en-GB"/>
        </w:rPr>
      </w:pPr>
      <w:r>
        <w:rPr>
          <w:rFonts w:cstheme="minorHAnsi"/>
          <w:sz w:val="24"/>
          <w:szCs w:val="24"/>
          <w:lang w:val="en-GB"/>
        </w:rPr>
        <w:t xml:space="preserve">Mr. Oli Bird </w:t>
      </w:r>
      <w:r w:rsidR="00FE6A87" w:rsidRPr="002F49B6">
        <w:rPr>
          <w:rFonts w:cstheme="minorHAnsi"/>
          <w:sz w:val="24"/>
          <w:szCs w:val="24"/>
          <w:lang w:val="en-GB"/>
        </w:rPr>
        <w:t>(</w:t>
      </w:r>
      <w:r>
        <w:rPr>
          <w:rFonts w:cstheme="minorHAnsi"/>
          <w:sz w:val="24"/>
          <w:szCs w:val="24"/>
          <w:lang w:val="en-GB"/>
        </w:rPr>
        <w:t>UK</w:t>
      </w:r>
      <w:r w:rsidR="00FE6A87" w:rsidRPr="002F49B6">
        <w:rPr>
          <w:rFonts w:cstheme="minorHAnsi"/>
          <w:sz w:val="24"/>
          <w:szCs w:val="24"/>
          <w:lang w:val="en-GB"/>
        </w:rPr>
        <w:t>)</w:t>
      </w:r>
    </w:p>
    <w:p w14:paraId="4C75AC70" w14:textId="78C4F90A" w:rsidR="00FE2C37" w:rsidRPr="002F49B6" w:rsidRDefault="00FE2C37" w:rsidP="00C919E4">
      <w:pPr>
        <w:spacing w:after="0" w:line="276" w:lineRule="auto"/>
        <w:ind w:left="720"/>
        <w:jc w:val="both"/>
        <w:rPr>
          <w:rFonts w:cstheme="minorHAnsi"/>
          <w:sz w:val="24"/>
          <w:szCs w:val="24"/>
          <w:lang w:val="en-GB"/>
        </w:rPr>
      </w:pPr>
      <w:r w:rsidRPr="002F49B6">
        <w:rPr>
          <w:rFonts w:cstheme="minorHAnsi"/>
          <w:sz w:val="24"/>
          <w:szCs w:val="24"/>
          <w:lang w:val="en-GB"/>
        </w:rPr>
        <w:t>Committee 2 (</w:t>
      </w:r>
      <w:r w:rsidR="00F60E60">
        <w:rPr>
          <w:rFonts w:cstheme="minorHAnsi"/>
          <w:sz w:val="24"/>
          <w:szCs w:val="24"/>
          <w:lang w:val="en-GB"/>
        </w:rPr>
        <w:t>Credentials</w:t>
      </w:r>
      <w:r w:rsidRPr="002F49B6">
        <w:rPr>
          <w:rFonts w:cstheme="minorHAnsi"/>
          <w:sz w:val="24"/>
          <w:szCs w:val="24"/>
          <w:lang w:val="en-GB"/>
        </w:rPr>
        <w:t>) Vice-Chair:</w:t>
      </w:r>
    </w:p>
    <w:p w14:paraId="59651EFA" w14:textId="14C1F617" w:rsidR="00FE2C37" w:rsidRPr="002F49B6" w:rsidRDefault="00210A26" w:rsidP="00C919E4">
      <w:pPr>
        <w:numPr>
          <w:ilvl w:val="0"/>
          <w:numId w:val="6"/>
        </w:numPr>
        <w:tabs>
          <w:tab w:val="clear" w:pos="720"/>
          <w:tab w:val="num" w:pos="2520"/>
        </w:tabs>
        <w:spacing w:after="0" w:line="276" w:lineRule="auto"/>
        <w:ind w:left="1440"/>
        <w:jc w:val="both"/>
        <w:rPr>
          <w:rFonts w:cstheme="minorHAnsi"/>
          <w:sz w:val="24"/>
          <w:szCs w:val="24"/>
          <w:lang w:val="en-GB"/>
        </w:rPr>
      </w:pPr>
      <w:r>
        <w:rPr>
          <w:rFonts w:cstheme="minorHAnsi"/>
          <w:sz w:val="24"/>
          <w:szCs w:val="24"/>
          <w:lang w:val="en-GB"/>
        </w:rPr>
        <w:t xml:space="preserve">Mr. </w:t>
      </w:r>
      <w:r w:rsidR="007B0930" w:rsidRPr="007B0930">
        <w:rPr>
          <w:rFonts w:cstheme="minorHAnsi"/>
          <w:sz w:val="24"/>
          <w:szCs w:val="24"/>
        </w:rPr>
        <w:t>Dirk-Olivier Vonder Emden</w:t>
      </w:r>
      <w:r w:rsidR="007B0930">
        <w:rPr>
          <w:rFonts w:cstheme="minorHAnsi"/>
          <w:sz w:val="24"/>
          <w:szCs w:val="24"/>
        </w:rPr>
        <w:t xml:space="preserve"> (</w:t>
      </w:r>
      <w:r w:rsidR="007B0930" w:rsidRPr="007B0930">
        <w:rPr>
          <w:rFonts w:cstheme="minorHAnsi"/>
          <w:sz w:val="24"/>
          <w:szCs w:val="24"/>
        </w:rPr>
        <w:t>Switzerland</w:t>
      </w:r>
      <w:r w:rsidR="007B0930">
        <w:rPr>
          <w:rFonts w:cstheme="minorHAnsi"/>
          <w:sz w:val="24"/>
          <w:szCs w:val="24"/>
        </w:rPr>
        <w:t>)</w:t>
      </w:r>
    </w:p>
    <w:p w14:paraId="176231F1" w14:textId="4E1EA7F7" w:rsidR="00FE2C37" w:rsidRPr="002F49B6" w:rsidRDefault="00FE2C37" w:rsidP="00C919E4">
      <w:pPr>
        <w:spacing w:after="0" w:line="276" w:lineRule="auto"/>
        <w:ind w:left="720"/>
        <w:jc w:val="both"/>
        <w:rPr>
          <w:rFonts w:cstheme="minorHAnsi"/>
          <w:sz w:val="24"/>
          <w:szCs w:val="24"/>
          <w:lang w:val="en-GB"/>
        </w:rPr>
      </w:pPr>
      <w:r w:rsidRPr="002F49B6">
        <w:rPr>
          <w:rFonts w:cstheme="minorHAnsi"/>
          <w:sz w:val="24"/>
          <w:szCs w:val="24"/>
          <w:lang w:val="en-GB"/>
        </w:rPr>
        <w:t>Committee 3 (</w:t>
      </w:r>
      <w:r w:rsidR="00BC2FB1">
        <w:rPr>
          <w:rFonts w:cstheme="minorHAnsi"/>
          <w:sz w:val="24"/>
          <w:szCs w:val="24"/>
          <w:lang w:val="en-GB"/>
        </w:rPr>
        <w:t>Budget</w:t>
      </w:r>
      <w:r w:rsidRPr="002F49B6">
        <w:rPr>
          <w:rFonts w:cstheme="minorHAnsi"/>
          <w:sz w:val="24"/>
          <w:szCs w:val="24"/>
          <w:lang w:val="en-GB"/>
        </w:rPr>
        <w:t>) Vice-Chair:</w:t>
      </w:r>
    </w:p>
    <w:p w14:paraId="260F2D75" w14:textId="07096CAE" w:rsidR="00FE2C37" w:rsidRPr="002F49B6" w:rsidRDefault="00FE2C37" w:rsidP="00C919E4">
      <w:pPr>
        <w:numPr>
          <w:ilvl w:val="0"/>
          <w:numId w:val="7"/>
        </w:numPr>
        <w:tabs>
          <w:tab w:val="clear" w:pos="720"/>
          <w:tab w:val="num" w:pos="1440"/>
        </w:tabs>
        <w:spacing w:after="0" w:line="276" w:lineRule="auto"/>
        <w:ind w:left="1440"/>
        <w:jc w:val="both"/>
        <w:rPr>
          <w:rFonts w:cstheme="minorHAnsi"/>
          <w:sz w:val="24"/>
          <w:szCs w:val="24"/>
          <w:lang w:val="en-GB"/>
        </w:rPr>
      </w:pPr>
      <w:r w:rsidRPr="002F49B6">
        <w:rPr>
          <w:rFonts w:cstheme="minorHAnsi"/>
          <w:sz w:val="24"/>
          <w:szCs w:val="24"/>
          <w:lang w:val="en-GB"/>
        </w:rPr>
        <w:t xml:space="preserve">Mr. </w:t>
      </w:r>
      <w:r w:rsidR="00567B49">
        <w:rPr>
          <w:rFonts w:cstheme="minorHAnsi"/>
          <w:sz w:val="24"/>
          <w:szCs w:val="24"/>
          <w:lang w:val="en-GB"/>
        </w:rPr>
        <w:t xml:space="preserve">Wojciech Berezowski </w:t>
      </w:r>
      <w:r w:rsidRPr="002F49B6">
        <w:rPr>
          <w:rFonts w:cstheme="minorHAnsi"/>
          <w:sz w:val="24"/>
          <w:szCs w:val="24"/>
          <w:lang w:val="en-GB"/>
        </w:rPr>
        <w:t>(</w:t>
      </w:r>
      <w:r w:rsidR="00567B49">
        <w:rPr>
          <w:rFonts w:cstheme="minorHAnsi"/>
          <w:sz w:val="24"/>
          <w:szCs w:val="24"/>
          <w:lang w:val="en-GB"/>
        </w:rPr>
        <w:t>Poland</w:t>
      </w:r>
      <w:r w:rsidRPr="002F49B6">
        <w:rPr>
          <w:rFonts w:cstheme="minorHAnsi"/>
          <w:sz w:val="24"/>
          <w:szCs w:val="24"/>
          <w:lang w:val="en-GB"/>
        </w:rPr>
        <w:t>)</w:t>
      </w:r>
    </w:p>
    <w:p w14:paraId="2F4F9821" w14:textId="194A2FF6" w:rsidR="00FE2C37" w:rsidRPr="002F49B6" w:rsidRDefault="00FE2C37" w:rsidP="00C919E4">
      <w:pPr>
        <w:spacing w:after="0" w:line="276" w:lineRule="auto"/>
        <w:ind w:left="720"/>
        <w:jc w:val="both"/>
        <w:rPr>
          <w:rFonts w:cstheme="minorHAnsi"/>
          <w:sz w:val="24"/>
          <w:szCs w:val="24"/>
          <w:lang w:val="en-GB"/>
        </w:rPr>
      </w:pPr>
      <w:r w:rsidRPr="002F49B6">
        <w:rPr>
          <w:rFonts w:cstheme="minorHAnsi"/>
          <w:sz w:val="24"/>
          <w:szCs w:val="24"/>
          <w:lang w:val="en-GB"/>
        </w:rPr>
        <w:t xml:space="preserve">Committee </w:t>
      </w:r>
      <w:r w:rsidR="00BC2FB1">
        <w:rPr>
          <w:rFonts w:cstheme="minorHAnsi"/>
          <w:sz w:val="24"/>
          <w:szCs w:val="24"/>
          <w:lang w:val="en-GB"/>
        </w:rPr>
        <w:t>4</w:t>
      </w:r>
      <w:r w:rsidRPr="002F49B6">
        <w:rPr>
          <w:rFonts w:cstheme="minorHAnsi"/>
          <w:sz w:val="24"/>
          <w:szCs w:val="24"/>
          <w:lang w:val="en-GB"/>
        </w:rPr>
        <w:t xml:space="preserve"> (Editorial) Chair</w:t>
      </w:r>
      <w:r w:rsidR="00BC2FB1">
        <w:rPr>
          <w:rFonts w:cstheme="minorHAnsi"/>
          <w:sz w:val="24"/>
          <w:szCs w:val="24"/>
          <w:lang w:val="en-GB"/>
        </w:rPr>
        <w:t>, Vice-Chair</w:t>
      </w:r>
      <w:r w:rsidRPr="002F49B6">
        <w:rPr>
          <w:rFonts w:cstheme="minorHAnsi"/>
          <w:sz w:val="24"/>
          <w:szCs w:val="24"/>
          <w:lang w:val="en-GB"/>
        </w:rPr>
        <w:t>:</w:t>
      </w:r>
    </w:p>
    <w:p w14:paraId="1B8BED6D" w14:textId="2EE5D8D3" w:rsidR="00FE2C37" w:rsidRDefault="00E34471" w:rsidP="00C919E4">
      <w:pPr>
        <w:numPr>
          <w:ilvl w:val="0"/>
          <w:numId w:val="8"/>
        </w:numPr>
        <w:tabs>
          <w:tab w:val="clear" w:pos="720"/>
          <w:tab w:val="num" w:pos="1440"/>
        </w:tabs>
        <w:spacing w:after="0" w:line="276" w:lineRule="auto"/>
        <w:ind w:left="1440"/>
        <w:jc w:val="both"/>
        <w:rPr>
          <w:rFonts w:cstheme="minorHAnsi"/>
          <w:sz w:val="24"/>
          <w:szCs w:val="24"/>
          <w:lang w:val="en-GB"/>
        </w:rPr>
      </w:pPr>
      <w:r>
        <w:rPr>
          <w:rFonts w:cstheme="minorHAnsi"/>
          <w:sz w:val="24"/>
          <w:szCs w:val="24"/>
          <w:lang w:val="en-GB"/>
        </w:rPr>
        <w:t xml:space="preserve">Chair: </w:t>
      </w:r>
      <w:r w:rsidR="00320375">
        <w:rPr>
          <w:rFonts w:cstheme="minorHAnsi"/>
          <w:sz w:val="24"/>
          <w:szCs w:val="24"/>
          <w:lang w:val="en-GB"/>
        </w:rPr>
        <w:t xml:space="preserve">Mr. </w:t>
      </w:r>
      <w:r w:rsidR="00320375" w:rsidRPr="00320375">
        <w:rPr>
          <w:rFonts w:cstheme="minorHAnsi"/>
          <w:sz w:val="24"/>
          <w:szCs w:val="24"/>
          <w:lang w:val="en-GB"/>
        </w:rPr>
        <w:t>Christian Rissone</w:t>
      </w:r>
      <w:r w:rsidR="00320375">
        <w:rPr>
          <w:rFonts w:cstheme="minorHAnsi"/>
          <w:sz w:val="24"/>
          <w:szCs w:val="24"/>
          <w:lang w:val="en-GB"/>
        </w:rPr>
        <w:t xml:space="preserve"> (</w:t>
      </w:r>
      <w:r w:rsidR="00320375" w:rsidRPr="00320375">
        <w:rPr>
          <w:rFonts w:cstheme="minorHAnsi"/>
          <w:sz w:val="24"/>
          <w:szCs w:val="24"/>
          <w:lang w:val="en-GB"/>
        </w:rPr>
        <w:t>France</w:t>
      </w:r>
      <w:r w:rsidR="00320375">
        <w:rPr>
          <w:rFonts w:cstheme="minorHAnsi"/>
          <w:sz w:val="24"/>
          <w:szCs w:val="24"/>
          <w:lang w:val="en-GB"/>
        </w:rPr>
        <w:t xml:space="preserve">) </w:t>
      </w:r>
    </w:p>
    <w:p w14:paraId="72226974" w14:textId="29EEAF67" w:rsidR="00BC2FB1" w:rsidRPr="002F49B6" w:rsidRDefault="00BC2FB1" w:rsidP="00C919E4">
      <w:pPr>
        <w:numPr>
          <w:ilvl w:val="0"/>
          <w:numId w:val="8"/>
        </w:numPr>
        <w:tabs>
          <w:tab w:val="clear" w:pos="720"/>
          <w:tab w:val="num" w:pos="1440"/>
        </w:tabs>
        <w:spacing w:after="0" w:line="276" w:lineRule="auto"/>
        <w:ind w:left="1440"/>
        <w:jc w:val="both"/>
        <w:rPr>
          <w:rFonts w:cstheme="minorHAnsi"/>
          <w:sz w:val="24"/>
          <w:szCs w:val="24"/>
          <w:lang w:val="en-GB"/>
        </w:rPr>
      </w:pPr>
      <w:r>
        <w:rPr>
          <w:rFonts w:cstheme="minorHAnsi"/>
          <w:sz w:val="24"/>
          <w:szCs w:val="24"/>
          <w:lang w:val="en-GB"/>
        </w:rPr>
        <w:t>Ms. Nicole Darabian (UK)</w:t>
      </w:r>
    </w:p>
    <w:p w14:paraId="3438A1F5" w14:textId="710503C5" w:rsidR="00294C3D" w:rsidRPr="002F49B6" w:rsidRDefault="00294C3D" w:rsidP="00294C3D">
      <w:pPr>
        <w:spacing w:after="0" w:line="276" w:lineRule="auto"/>
        <w:ind w:left="720"/>
        <w:jc w:val="both"/>
        <w:rPr>
          <w:rFonts w:cstheme="minorHAnsi"/>
          <w:sz w:val="24"/>
          <w:szCs w:val="24"/>
          <w:lang w:val="en-GB"/>
        </w:rPr>
      </w:pPr>
      <w:r w:rsidRPr="002F49B6">
        <w:rPr>
          <w:rFonts w:cstheme="minorHAnsi"/>
          <w:sz w:val="24"/>
          <w:szCs w:val="24"/>
          <w:lang w:val="en-GB"/>
        </w:rPr>
        <w:t xml:space="preserve">Committee </w:t>
      </w:r>
      <w:r>
        <w:rPr>
          <w:rFonts w:cstheme="minorHAnsi"/>
          <w:sz w:val="24"/>
          <w:szCs w:val="24"/>
          <w:lang w:val="en-GB"/>
        </w:rPr>
        <w:t>5</w:t>
      </w:r>
      <w:r w:rsidRPr="002F49B6">
        <w:rPr>
          <w:rFonts w:cstheme="minorHAnsi"/>
          <w:sz w:val="24"/>
          <w:szCs w:val="24"/>
          <w:lang w:val="en-GB"/>
        </w:rPr>
        <w:t xml:space="preserve"> (</w:t>
      </w:r>
      <w:r>
        <w:rPr>
          <w:rFonts w:cstheme="minorHAnsi"/>
          <w:sz w:val="24"/>
          <w:szCs w:val="24"/>
          <w:lang w:val="en-GB"/>
        </w:rPr>
        <w:t>Policy &amp; Legal</w:t>
      </w:r>
      <w:r w:rsidRPr="002F49B6">
        <w:rPr>
          <w:rFonts w:cstheme="minorHAnsi"/>
          <w:sz w:val="24"/>
          <w:szCs w:val="24"/>
          <w:lang w:val="en-GB"/>
        </w:rPr>
        <w:t xml:space="preserve">) </w:t>
      </w:r>
      <w:r>
        <w:rPr>
          <w:rFonts w:cstheme="minorHAnsi"/>
          <w:sz w:val="24"/>
          <w:szCs w:val="24"/>
          <w:lang w:val="en-GB"/>
        </w:rPr>
        <w:t>Vice-Chair</w:t>
      </w:r>
      <w:r w:rsidRPr="002F49B6">
        <w:rPr>
          <w:rFonts w:cstheme="minorHAnsi"/>
          <w:sz w:val="24"/>
          <w:szCs w:val="24"/>
          <w:lang w:val="en-GB"/>
        </w:rPr>
        <w:t>:</w:t>
      </w:r>
    </w:p>
    <w:p w14:paraId="7BAA0D17" w14:textId="63D3327D" w:rsidR="00294C3D" w:rsidRDefault="00E34471" w:rsidP="00294C3D">
      <w:pPr>
        <w:numPr>
          <w:ilvl w:val="0"/>
          <w:numId w:val="8"/>
        </w:numPr>
        <w:tabs>
          <w:tab w:val="clear" w:pos="720"/>
          <w:tab w:val="num" w:pos="1440"/>
        </w:tabs>
        <w:spacing w:after="0" w:line="276" w:lineRule="auto"/>
        <w:ind w:left="1440"/>
        <w:jc w:val="both"/>
        <w:rPr>
          <w:rFonts w:cstheme="minorHAnsi"/>
          <w:sz w:val="24"/>
          <w:szCs w:val="24"/>
          <w:lang w:val="en-GB"/>
        </w:rPr>
      </w:pPr>
      <w:r>
        <w:rPr>
          <w:rFonts w:cstheme="minorHAnsi"/>
          <w:sz w:val="24"/>
          <w:szCs w:val="24"/>
        </w:rPr>
        <w:t xml:space="preserve">Mr. </w:t>
      </w:r>
      <w:r w:rsidRPr="00E34471">
        <w:rPr>
          <w:rFonts w:cstheme="minorHAnsi"/>
          <w:sz w:val="24"/>
          <w:szCs w:val="24"/>
        </w:rPr>
        <w:t>Johann Gross</w:t>
      </w:r>
      <w:r>
        <w:rPr>
          <w:rFonts w:cstheme="minorHAnsi"/>
          <w:sz w:val="24"/>
          <w:szCs w:val="24"/>
        </w:rPr>
        <w:t xml:space="preserve"> (</w:t>
      </w:r>
      <w:r w:rsidRPr="00E34471">
        <w:rPr>
          <w:rFonts w:cstheme="minorHAnsi"/>
          <w:sz w:val="24"/>
          <w:szCs w:val="24"/>
        </w:rPr>
        <w:t>Germany</w:t>
      </w:r>
      <w:r>
        <w:rPr>
          <w:rFonts w:cstheme="minorHAnsi"/>
          <w:sz w:val="24"/>
          <w:szCs w:val="24"/>
        </w:rPr>
        <w:t>)</w:t>
      </w:r>
    </w:p>
    <w:p w14:paraId="26731A5A" w14:textId="5AFF15E2" w:rsidR="00294C3D" w:rsidRPr="002F49B6" w:rsidRDefault="00294C3D" w:rsidP="00294C3D">
      <w:pPr>
        <w:spacing w:after="0" w:line="276" w:lineRule="auto"/>
        <w:ind w:left="720"/>
        <w:jc w:val="both"/>
        <w:rPr>
          <w:rFonts w:cstheme="minorHAnsi"/>
          <w:sz w:val="24"/>
          <w:szCs w:val="24"/>
          <w:lang w:val="en-GB"/>
        </w:rPr>
      </w:pPr>
      <w:r w:rsidRPr="002F49B6">
        <w:rPr>
          <w:rFonts w:cstheme="minorHAnsi"/>
          <w:sz w:val="24"/>
          <w:szCs w:val="24"/>
          <w:lang w:val="en-GB"/>
        </w:rPr>
        <w:t xml:space="preserve">Committee </w:t>
      </w:r>
      <w:r w:rsidR="008E7CD2">
        <w:rPr>
          <w:rFonts w:cstheme="minorHAnsi"/>
          <w:sz w:val="24"/>
          <w:szCs w:val="24"/>
          <w:lang w:val="en-GB"/>
        </w:rPr>
        <w:t>6</w:t>
      </w:r>
      <w:r w:rsidRPr="002F49B6">
        <w:rPr>
          <w:rFonts w:cstheme="minorHAnsi"/>
          <w:sz w:val="24"/>
          <w:szCs w:val="24"/>
          <w:lang w:val="en-GB"/>
        </w:rPr>
        <w:t xml:space="preserve"> (</w:t>
      </w:r>
      <w:r w:rsidR="008E7CD2">
        <w:rPr>
          <w:rFonts w:cstheme="minorHAnsi"/>
          <w:sz w:val="24"/>
          <w:szCs w:val="24"/>
          <w:lang w:val="en-GB"/>
        </w:rPr>
        <w:t>Admin &amp; Management</w:t>
      </w:r>
      <w:r w:rsidRPr="002F49B6">
        <w:rPr>
          <w:rFonts w:cstheme="minorHAnsi"/>
          <w:sz w:val="24"/>
          <w:szCs w:val="24"/>
          <w:lang w:val="en-GB"/>
        </w:rPr>
        <w:t xml:space="preserve">) </w:t>
      </w:r>
      <w:r>
        <w:rPr>
          <w:rFonts w:cstheme="minorHAnsi"/>
          <w:sz w:val="24"/>
          <w:szCs w:val="24"/>
          <w:lang w:val="en-GB"/>
        </w:rPr>
        <w:t>Vice-Chair</w:t>
      </w:r>
      <w:r w:rsidRPr="002F49B6">
        <w:rPr>
          <w:rFonts w:cstheme="minorHAnsi"/>
          <w:sz w:val="24"/>
          <w:szCs w:val="24"/>
          <w:lang w:val="en-GB"/>
        </w:rPr>
        <w:t>:</w:t>
      </w:r>
    </w:p>
    <w:p w14:paraId="2F2F750C" w14:textId="77777777" w:rsidR="008E7CD2" w:rsidRPr="002F49B6" w:rsidRDefault="008E7CD2" w:rsidP="008E7CD2">
      <w:pPr>
        <w:numPr>
          <w:ilvl w:val="0"/>
          <w:numId w:val="9"/>
        </w:numPr>
        <w:tabs>
          <w:tab w:val="clear" w:pos="720"/>
          <w:tab w:val="num" w:pos="1440"/>
        </w:tabs>
        <w:spacing w:after="120" w:line="276" w:lineRule="auto"/>
        <w:ind w:left="1440"/>
        <w:jc w:val="both"/>
        <w:rPr>
          <w:rFonts w:cstheme="minorHAnsi"/>
          <w:sz w:val="24"/>
          <w:szCs w:val="24"/>
          <w:lang w:val="en-GB"/>
        </w:rPr>
      </w:pPr>
      <w:r w:rsidRPr="002F49B6">
        <w:rPr>
          <w:rFonts w:cstheme="minorHAnsi"/>
          <w:sz w:val="24"/>
          <w:szCs w:val="24"/>
          <w:lang w:val="en-GB"/>
        </w:rPr>
        <w:t>Ms. Blanca Gonzalez (Spain)</w:t>
      </w:r>
    </w:p>
    <w:p w14:paraId="6220345B" w14:textId="77777777" w:rsidR="00FE2C37" w:rsidRPr="002F49B6" w:rsidRDefault="00FE2C37" w:rsidP="00C919E4">
      <w:pPr>
        <w:spacing w:after="0" w:line="276" w:lineRule="auto"/>
        <w:ind w:left="720"/>
        <w:jc w:val="both"/>
        <w:rPr>
          <w:rFonts w:cstheme="minorHAnsi"/>
          <w:sz w:val="24"/>
          <w:szCs w:val="24"/>
          <w:lang w:val="en-GB"/>
        </w:rPr>
      </w:pPr>
      <w:r w:rsidRPr="002F49B6">
        <w:rPr>
          <w:rFonts w:cstheme="minorHAnsi"/>
          <w:sz w:val="24"/>
          <w:szCs w:val="24"/>
          <w:lang w:val="en-GB"/>
        </w:rPr>
        <w:t>Working Group of the Plenary, Vice-Chair:</w:t>
      </w:r>
    </w:p>
    <w:p w14:paraId="08856506" w14:textId="1A4F53BC" w:rsidR="00FE2C37" w:rsidRPr="002F49B6" w:rsidRDefault="00FE2C37" w:rsidP="00CC23A9">
      <w:pPr>
        <w:numPr>
          <w:ilvl w:val="0"/>
          <w:numId w:val="9"/>
        </w:numPr>
        <w:tabs>
          <w:tab w:val="clear" w:pos="720"/>
          <w:tab w:val="num" w:pos="1440"/>
        </w:tabs>
        <w:spacing w:after="120" w:line="276" w:lineRule="auto"/>
        <w:ind w:left="1440"/>
        <w:jc w:val="both"/>
        <w:rPr>
          <w:rFonts w:cstheme="minorHAnsi"/>
          <w:sz w:val="24"/>
          <w:szCs w:val="24"/>
          <w:lang w:val="en-GB"/>
        </w:rPr>
      </w:pPr>
      <w:r w:rsidRPr="002F49B6">
        <w:rPr>
          <w:rFonts w:cstheme="minorHAnsi"/>
          <w:sz w:val="24"/>
          <w:szCs w:val="24"/>
          <w:lang w:val="en-GB"/>
        </w:rPr>
        <w:t xml:space="preserve">Ms. </w:t>
      </w:r>
      <w:r w:rsidR="00B55872" w:rsidRPr="00B55872">
        <w:rPr>
          <w:rFonts w:cstheme="minorHAnsi"/>
          <w:sz w:val="24"/>
          <w:szCs w:val="24"/>
        </w:rPr>
        <w:t>Inga Rimkeviciene</w:t>
      </w:r>
      <w:r w:rsidR="00B55872">
        <w:rPr>
          <w:rFonts w:cstheme="minorHAnsi"/>
          <w:sz w:val="24"/>
          <w:szCs w:val="24"/>
        </w:rPr>
        <w:t xml:space="preserve"> (</w:t>
      </w:r>
      <w:r w:rsidR="00B55872" w:rsidRPr="00B55872">
        <w:rPr>
          <w:rFonts w:cstheme="minorHAnsi"/>
          <w:sz w:val="24"/>
          <w:szCs w:val="24"/>
        </w:rPr>
        <w:t>Lithuania</w:t>
      </w:r>
      <w:r w:rsidR="00B55872">
        <w:rPr>
          <w:rFonts w:cstheme="minorHAnsi"/>
          <w:sz w:val="24"/>
          <w:szCs w:val="24"/>
          <w:lang w:val="en-GB"/>
        </w:rPr>
        <w:t>)</w:t>
      </w:r>
    </w:p>
    <w:p w14:paraId="41ED8525" w14:textId="56A85A2C" w:rsidR="00E51038" w:rsidRPr="002F49B6" w:rsidRDefault="00BC2C77" w:rsidP="009F75BE">
      <w:pPr>
        <w:spacing w:after="0" w:line="276" w:lineRule="auto"/>
        <w:jc w:val="both"/>
        <w:rPr>
          <w:rFonts w:cstheme="minorHAnsi"/>
          <w:sz w:val="24"/>
          <w:szCs w:val="24"/>
          <w:lang w:val="en-GB"/>
        </w:rPr>
      </w:pPr>
      <w:r w:rsidRPr="002F49B6">
        <w:rPr>
          <w:rFonts w:cstheme="minorHAnsi"/>
          <w:sz w:val="24"/>
          <w:szCs w:val="24"/>
          <w:lang w:val="en-GB"/>
        </w:rPr>
        <w:t xml:space="preserve">CEPT members also chaired </w:t>
      </w:r>
      <w:r w:rsidR="00774274">
        <w:rPr>
          <w:rFonts w:cstheme="minorHAnsi"/>
          <w:sz w:val="24"/>
          <w:szCs w:val="24"/>
          <w:lang w:val="en-GB"/>
        </w:rPr>
        <w:t>several</w:t>
      </w:r>
      <w:r w:rsidR="009F75BE">
        <w:rPr>
          <w:rFonts w:cstheme="minorHAnsi"/>
          <w:sz w:val="24"/>
          <w:szCs w:val="24"/>
          <w:lang w:val="en-GB"/>
        </w:rPr>
        <w:t xml:space="preserve"> ad hoc and informal groups:</w:t>
      </w:r>
    </w:p>
    <w:p w14:paraId="3F480A2A" w14:textId="77777777" w:rsidR="00300684" w:rsidRPr="001F291C" w:rsidRDefault="00300684" w:rsidP="00300684">
      <w:pPr>
        <w:pStyle w:val="Reasons"/>
        <w:rPr>
          <w:sz w:val="23"/>
          <w:szCs w:val="23"/>
        </w:rPr>
      </w:pPr>
      <w:bookmarkStart w:id="0" w:name="dpp"/>
      <w:bookmarkEnd w:id="0"/>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3953"/>
      </w:tblGrid>
      <w:tr w:rsidR="00844133" w:rsidRPr="001F291C" w14:paraId="60B01DF4" w14:textId="77777777" w:rsidTr="00CC7009">
        <w:trPr>
          <w:trHeight w:val="300"/>
          <w:jc w:val="center"/>
        </w:trPr>
        <w:tc>
          <w:tcPr>
            <w:tcW w:w="5131" w:type="dxa"/>
            <w:shd w:val="clear" w:color="auto" w:fill="BFBFBF" w:themeFill="background1" w:themeFillShade="BF"/>
          </w:tcPr>
          <w:p w14:paraId="1D833B1C" w14:textId="77777777" w:rsidR="00844133" w:rsidRPr="001F291C" w:rsidRDefault="00844133" w:rsidP="005462A0">
            <w:pPr>
              <w:rPr>
                <w:rFonts w:cstheme="minorHAnsi"/>
                <w:b/>
                <w:bCs/>
                <w:color w:val="000000"/>
                <w:sz w:val="19"/>
                <w:szCs w:val="19"/>
                <w:lang w:val="en-US"/>
              </w:rPr>
            </w:pPr>
            <w:r w:rsidRPr="001F291C">
              <w:rPr>
                <w:rFonts w:cstheme="minorHAnsi"/>
                <w:b/>
                <w:bCs/>
                <w:color w:val="000000"/>
                <w:sz w:val="19"/>
                <w:szCs w:val="19"/>
                <w:lang w:val="en-US"/>
              </w:rPr>
              <w:t>COMMITTEE 5</w:t>
            </w:r>
          </w:p>
        </w:tc>
        <w:tc>
          <w:tcPr>
            <w:tcW w:w="3953" w:type="dxa"/>
            <w:shd w:val="clear" w:color="auto" w:fill="BFBFBF" w:themeFill="background1" w:themeFillShade="BF"/>
          </w:tcPr>
          <w:p w14:paraId="4E7F65F5" w14:textId="77777777" w:rsidR="00844133" w:rsidRPr="001F291C" w:rsidRDefault="00844133" w:rsidP="005462A0">
            <w:pPr>
              <w:rPr>
                <w:rFonts w:cstheme="minorHAnsi"/>
                <w:b/>
                <w:bCs/>
                <w:color w:val="000000"/>
                <w:sz w:val="19"/>
                <w:szCs w:val="19"/>
                <w:lang w:val="en-US"/>
              </w:rPr>
            </w:pPr>
            <w:r w:rsidRPr="001F291C">
              <w:rPr>
                <w:rFonts w:cstheme="minorHAnsi"/>
                <w:b/>
                <w:bCs/>
                <w:color w:val="000000"/>
                <w:sz w:val="19"/>
                <w:szCs w:val="19"/>
                <w:lang w:val="en-US"/>
              </w:rPr>
              <w:t> CHAIR</w:t>
            </w:r>
          </w:p>
        </w:tc>
      </w:tr>
      <w:tr w:rsidR="00844133" w:rsidRPr="001F291C" w14:paraId="39A66243" w14:textId="77777777" w:rsidTr="00CC7009">
        <w:trPr>
          <w:trHeight w:val="300"/>
          <w:jc w:val="center"/>
        </w:trPr>
        <w:tc>
          <w:tcPr>
            <w:tcW w:w="5131" w:type="dxa"/>
            <w:shd w:val="clear" w:color="auto" w:fill="auto"/>
          </w:tcPr>
          <w:p w14:paraId="64398A75" w14:textId="77777777" w:rsidR="00844133" w:rsidRPr="001F291C" w:rsidRDefault="00844133" w:rsidP="005462A0">
            <w:pPr>
              <w:spacing w:before="40" w:after="40"/>
              <w:rPr>
                <w:rFonts w:cstheme="minorHAnsi"/>
                <w:color w:val="000000"/>
                <w:sz w:val="19"/>
                <w:szCs w:val="19"/>
                <w:lang w:val="en-US"/>
              </w:rPr>
            </w:pPr>
            <w:r w:rsidRPr="001F291C">
              <w:rPr>
                <w:rFonts w:cstheme="minorHAnsi"/>
                <w:color w:val="000000"/>
                <w:sz w:val="19"/>
                <w:szCs w:val="19"/>
                <w:lang w:val="en-US"/>
              </w:rPr>
              <w:t>Ad hoc group Res. 21 (Alternative calling procedures.)</w:t>
            </w:r>
          </w:p>
        </w:tc>
        <w:tc>
          <w:tcPr>
            <w:tcW w:w="3953" w:type="dxa"/>
            <w:shd w:val="clear" w:color="auto" w:fill="auto"/>
          </w:tcPr>
          <w:p w14:paraId="0E819A13" w14:textId="72947CB1" w:rsidR="00844133" w:rsidRPr="001F291C" w:rsidRDefault="00844133" w:rsidP="005462A0">
            <w:pPr>
              <w:spacing w:before="40" w:after="40"/>
              <w:rPr>
                <w:rFonts w:cstheme="minorHAnsi"/>
                <w:color w:val="000000"/>
                <w:sz w:val="19"/>
                <w:szCs w:val="19"/>
                <w:lang w:val="en-US"/>
              </w:rPr>
            </w:pPr>
            <w:r w:rsidRPr="001F291C">
              <w:rPr>
                <w:rFonts w:cstheme="minorHAnsi"/>
                <w:color w:val="000000"/>
                <w:sz w:val="19"/>
                <w:szCs w:val="19"/>
                <w:lang w:val="en-US"/>
              </w:rPr>
              <w:t>Mr Phil RUSHTON (United Kingdom)</w:t>
            </w:r>
            <w:r w:rsidRPr="001F291C">
              <w:rPr>
                <w:rFonts w:cstheme="minorHAnsi"/>
                <w:color w:val="000000"/>
                <w:sz w:val="19"/>
                <w:szCs w:val="19"/>
                <w:lang w:val="en-US"/>
              </w:rPr>
              <w:br/>
            </w:r>
          </w:p>
        </w:tc>
      </w:tr>
      <w:tr w:rsidR="00AD2EED" w:rsidRPr="00A93415" w14:paraId="331B9D85" w14:textId="77777777" w:rsidTr="00CC7009">
        <w:trPr>
          <w:trHeight w:val="289"/>
          <w:jc w:val="center"/>
        </w:trPr>
        <w:tc>
          <w:tcPr>
            <w:tcW w:w="5131" w:type="dxa"/>
            <w:shd w:val="clear" w:color="auto" w:fill="auto"/>
          </w:tcPr>
          <w:p w14:paraId="1469A17A" w14:textId="3CB8F846"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Ad hoc group on Res. 196 (Protecting users)</w:t>
            </w:r>
          </w:p>
        </w:tc>
        <w:tc>
          <w:tcPr>
            <w:tcW w:w="3953" w:type="dxa"/>
            <w:shd w:val="clear" w:color="auto" w:fill="auto"/>
          </w:tcPr>
          <w:p w14:paraId="33648A55" w14:textId="1F1961EF"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Mr Mihail ION (Romania)</w:t>
            </w:r>
            <w:r w:rsidRPr="001F291C">
              <w:rPr>
                <w:rFonts w:cstheme="minorHAnsi"/>
                <w:color w:val="000000"/>
                <w:sz w:val="19"/>
                <w:szCs w:val="19"/>
                <w:lang w:val="en-US"/>
              </w:rPr>
              <w:br/>
            </w:r>
          </w:p>
        </w:tc>
      </w:tr>
      <w:tr w:rsidR="00AD2EED" w:rsidRPr="001F291C" w14:paraId="587509F1" w14:textId="77777777" w:rsidTr="00CC7009">
        <w:trPr>
          <w:trHeight w:val="289"/>
          <w:jc w:val="center"/>
        </w:trPr>
        <w:tc>
          <w:tcPr>
            <w:tcW w:w="5131" w:type="dxa"/>
            <w:shd w:val="clear" w:color="auto" w:fill="auto"/>
          </w:tcPr>
          <w:p w14:paraId="0B8F84E0"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Informal group on Radio Regulations Board: Res.119</w:t>
            </w:r>
          </w:p>
        </w:tc>
        <w:tc>
          <w:tcPr>
            <w:tcW w:w="3953" w:type="dxa"/>
            <w:shd w:val="clear" w:color="auto" w:fill="auto"/>
          </w:tcPr>
          <w:p w14:paraId="1BE94B5C" w14:textId="717E253A" w:rsidR="00AD2EED" w:rsidRPr="001F291C" w:rsidRDefault="00AD2EED" w:rsidP="00AD2EED">
            <w:pPr>
              <w:spacing w:before="40" w:after="40"/>
              <w:rPr>
                <w:rFonts w:cstheme="minorHAnsi"/>
                <w:color w:val="000000"/>
                <w:sz w:val="19"/>
                <w:szCs w:val="19"/>
              </w:rPr>
            </w:pPr>
            <w:r w:rsidRPr="001F291C">
              <w:rPr>
                <w:rFonts w:cstheme="minorHAnsi"/>
                <w:color w:val="000000"/>
                <w:sz w:val="19"/>
                <w:szCs w:val="19"/>
              </w:rPr>
              <w:t>Mr Steve TALBOT (United Kingdom)</w:t>
            </w:r>
            <w:r w:rsidRPr="001F291C">
              <w:rPr>
                <w:rFonts w:cstheme="minorHAnsi"/>
                <w:color w:val="000000"/>
                <w:sz w:val="19"/>
                <w:szCs w:val="19"/>
              </w:rPr>
              <w:br/>
            </w:r>
          </w:p>
        </w:tc>
      </w:tr>
      <w:tr w:rsidR="00AD2EED" w:rsidRPr="001F291C" w14:paraId="17596570" w14:textId="77777777" w:rsidTr="00CC7009">
        <w:trPr>
          <w:trHeight w:val="300"/>
          <w:jc w:val="center"/>
        </w:trPr>
        <w:tc>
          <w:tcPr>
            <w:tcW w:w="5131" w:type="dxa"/>
            <w:shd w:val="clear" w:color="auto" w:fill="BFBFBF" w:themeFill="background1" w:themeFillShade="BF"/>
            <w:hideMark/>
          </w:tcPr>
          <w:p w14:paraId="4D0536B0" w14:textId="77777777" w:rsidR="00AD2EED" w:rsidRPr="001F291C" w:rsidRDefault="00AD2EED" w:rsidP="00AD2EED">
            <w:pPr>
              <w:spacing w:before="40" w:after="40"/>
              <w:rPr>
                <w:rFonts w:cstheme="minorHAnsi"/>
                <w:b/>
                <w:color w:val="000000"/>
                <w:sz w:val="19"/>
                <w:szCs w:val="19"/>
                <w:lang w:val="en-US"/>
              </w:rPr>
            </w:pPr>
            <w:r w:rsidRPr="001F291C">
              <w:rPr>
                <w:rFonts w:cstheme="minorHAnsi"/>
                <w:b/>
                <w:color w:val="000000"/>
                <w:sz w:val="19"/>
                <w:szCs w:val="19"/>
                <w:lang w:val="en-US"/>
              </w:rPr>
              <w:t>COMMITTEE 6</w:t>
            </w:r>
          </w:p>
        </w:tc>
        <w:tc>
          <w:tcPr>
            <w:tcW w:w="3953" w:type="dxa"/>
            <w:shd w:val="clear" w:color="auto" w:fill="BFBFBF" w:themeFill="background1" w:themeFillShade="BF"/>
            <w:hideMark/>
          </w:tcPr>
          <w:p w14:paraId="5C0FDBAC" w14:textId="77777777" w:rsidR="00AD2EED" w:rsidRPr="001F291C" w:rsidRDefault="00AD2EED" w:rsidP="00AD2EED">
            <w:pPr>
              <w:spacing w:before="80" w:after="80"/>
              <w:rPr>
                <w:rFonts w:cstheme="minorHAnsi"/>
                <w:b/>
                <w:color w:val="000000"/>
                <w:sz w:val="19"/>
                <w:szCs w:val="19"/>
                <w:lang w:val="en-US"/>
              </w:rPr>
            </w:pPr>
            <w:r w:rsidRPr="001F291C">
              <w:rPr>
                <w:rFonts w:cstheme="minorHAnsi"/>
                <w:b/>
                <w:color w:val="000000"/>
                <w:sz w:val="19"/>
                <w:szCs w:val="19"/>
                <w:lang w:val="en-US"/>
              </w:rPr>
              <w:t>CHAIR</w:t>
            </w:r>
          </w:p>
        </w:tc>
      </w:tr>
      <w:tr w:rsidR="00AD2EED" w:rsidRPr="001F291C" w14:paraId="4C8269BB" w14:textId="77777777" w:rsidTr="00CC7009">
        <w:trPr>
          <w:trHeight w:val="300"/>
          <w:jc w:val="center"/>
        </w:trPr>
        <w:tc>
          <w:tcPr>
            <w:tcW w:w="5131" w:type="dxa"/>
            <w:shd w:val="clear" w:color="auto" w:fill="auto"/>
            <w:hideMark/>
          </w:tcPr>
          <w:p w14:paraId="0620485B"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Ad hoc group on Res.48 (Human resources management and development)</w:t>
            </w:r>
          </w:p>
        </w:tc>
        <w:tc>
          <w:tcPr>
            <w:tcW w:w="3953" w:type="dxa"/>
            <w:shd w:val="clear" w:color="auto" w:fill="auto"/>
            <w:hideMark/>
          </w:tcPr>
          <w:p w14:paraId="1F84735F" w14:textId="0F671769" w:rsidR="00AD2EED" w:rsidRPr="001F291C" w:rsidRDefault="00AD2EED" w:rsidP="00AD2EED">
            <w:pPr>
              <w:spacing w:before="40" w:after="40"/>
              <w:rPr>
                <w:rFonts w:cstheme="minorHAnsi"/>
                <w:color w:val="000000"/>
                <w:sz w:val="19"/>
                <w:szCs w:val="19"/>
                <w:lang w:val="es-ES_tradnl"/>
              </w:rPr>
            </w:pPr>
            <w:r w:rsidRPr="001F291C">
              <w:rPr>
                <w:rFonts w:cstheme="minorHAnsi"/>
                <w:color w:val="000000"/>
                <w:sz w:val="19"/>
                <w:szCs w:val="19"/>
                <w:lang w:val="es-ES_tradnl"/>
              </w:rPr>
              <w:t>Ms Blanca GONZALEZ (Spain)</w:t>
            </w:r>
            <w:r w:rsidRPr="001F291C">
              <w:rPr>
                <w:rFonts w:cstheme="minorHAnsi"/>
                <w:color w:val="000000"/>
                <w:sz w:val="19"/>
                <w:szCs w:val="19"/>
                <w:lang w:val="es-ES_tradnl"/>
              </w:rPr>
              <w:br/>
            </w:r>
          </w:p>
        </w:tc>
      </w:tr>
      <w:tr w:rsidR="00AD2EED" w:rsidRPr="00A93415" w14:paraId="71B130B5" w14:textId="77777777" w:rsidTr="00CC7009">
        <w:trPr>
          <w:trHeight w:val="300"/>
          <w:jc w:val="center"/>
        </w:trPr>
        <w:tc>
          <w:tcPr>
            <w:tcW w:w="5131" w:type="dxa"/>
            <w:shd w:val="clear" w:color="auto" w:fill="auto"/>
            <w:hideMark/>
          </w:tcPr>
          <w:p w14:paraId="3C6B6191"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Ad hoc group on Res.71 (Strategic Plan)</w:t>
            </w:r>
          </w:p>
        </w:tc>
        <w:tc>
          <w:tcPr>
            <w:tcW w:w="3953" w:type="dxa"/>
            <w:shd w:val="clear" w:color="auto" w:fill="auto"/>
            <w:hideMark/>
          </w:tcPr>
          <w:p w14:paraId="7E8AC4C6" w14:textId="00F9DC02" w:rsidR="00AD2EED" w:rsidRPr="001F291C" w:rsidRDefault="00AD2EED" w:rsidP="00AD2EED">
            <w:pPr>
              <w:spacing w:before="40" w:after="40"/>
              <w:rPr>
                <w:rFonts w:cstheme="minorHAnsi"/>
                <w:color w:val="000000"/>
                <w:sz w:val="19"/>
                <w:szCs w:val="19"/>
              </w:rPr>
            </w:pPr>
            <w:r w:rsidRPr="001F291C">
              <w:rPr>
                <w:rFonts w:cstheme="minorHAnsi"/>
                <w:color w:val="000000"/>
                <w:sz w:val="19"/>
                <w:szCs w:val="19"/>
              </w:rPr>
              <w:t>Mr Frederic SAUVAGE (France)</w:t>
            </w:r>
            <w:r w:rsidRPr="001F291C">
              <w:rPr>
                <w:rFonts w:cstheme="minorHAnsi"/>
                <w:color w:val="000000"/>
                <w:sz w:val="19"/>
                <w:szCs w:val="19"/>
              </w:rPr>
              <w:br/>
            </w:r>
          </w:p>
        </w:tc>
      </w:tr>
      <w:tr w:rsidR="00AD2EED" w:rsidRPr="00A93415" w14:paraId="6A249C2F" w14:textId="77777777" w:rsidTr="00CC7009">
        <w:trPr>
          <w:trHeight w:val="300"/>
          <w:jc w:val="center"/>
        </w:trPr>
        <w:tc>
          <w:tcPr>
            <w:tcW w:w="5131" w:type="dxa"/>
            <w:shd w:val="clear" w:color="auto" w:fill="auto"/>
          </w:tcPr>
          <w:p w14:paraId="2ECF9BC8" w14:textId="77777777" w:rsidR="00AD2EED" w:rsidRPr="001F291C" w:rsidRDefault="00AD2EED" w:rsidP="00AD2EED">
            <w:pPr>
              <w:spacing w:before="40" w:after="40"/>
              <w:rPr>
                <w:rFonts w:cstheme="minorHAnsi"/>
                <w:color w:val="000000"/>
                <w:sz w:val="19"/>
                <w:szCs w:val="19"/>
                <w:lang w:val="en-US"/>
              </w:rPr>
            </w:pPr>
            <w:r w:rsidRPr="00695B44">
              <w:rPr>
                <w:rFonts w:cstheme="minorHAnsi"/>
                <w:color w:val="000000"/>
                <w:sz w:val="19"/>
                <w:szCs w:val="19"/>
                <w:lang w:val="en-US"/>
              </w:rPr>
              <w:t>Ad hoc on Financial Matters</w:t>
            </w:r>
          </w:p>
        </w:tc>
        <w:tc>
          <w:tcPr>
            <w:tcW w:w="3953" w:type="dxa"/>
            <w:shd w:val="clear" w:color="auto" w:fill="auto"/>
          </w:tcPr>
          <w:p w14:paraId="6D98102F" w14:textId="77777777" w:rsidR="00AD2EED" w:rsidRPr="004C60E7" w:rsidRDefault="00AD2EED" w:rsidP="00AD2EED">
            <w:pPr>
              <w:spacing w:before="40" w:after="40"/>
              <w:rPr>
                <w:rFonts w:cstheme="minorHAnsi"/>
                <w:color w:val="000000"/>
                <w:sz w:val="19"/>
                <w:szCs w:val="19"/>
                <w:lang w:val="es-ES"/>
              </w:rPr>
            </w:pPr>
            <w:r w:rsidRPr="004C60E7">
              <w:rPr>
                <w:rFonts w:cstheme="minorHAnsi"/>
                <w:color w:val="000000"/>
                <w:sz w:val="19"/>
                <w:szCs w:val="19"/>
                <w:lang w:val="es-ES"/>
              </w:rPr>
              <w:t>Mr Dirk-Olivier VON DER EMDEN (Switzerland)</w:t>
            </w:r>
          </w:p>
          <w:p w14:paraId="7DB1D4AE" w14:textId="0C79E96F" w:rsidR="00AD2EED" w:rsidRPr="004C60E7" w:rsidRDefault="00AD2EED" w:rsidP="00AD2EED">
            <w:pPr>
              <w:spacing w:before="40" w:after="40"/>
              <w:rPr>
                <w:rFonts w:cstheme="minorHAnsi"/>
                <w:color w:val="000000"/>
                <w:sz w:val="19"/>
                <w:szCs w:val="19"/>
                <w:lang w:val="es-ES"/>
              </w:rPr>
            </w:pPr>
          </w:p>
        </w:tc>
      </w:tr>
      <w:tr w:rsidR="00AD2EED" w:rsidRPr="00695B44" w14:paraId="669D2B94" w14:textId="77777777" w:rsidTr="00CC7009">
        <w:trPr>
          <w:trHeight w:val="300"/>
          <w:jc w:val="center"/>
        </w:trPr>
        <w:tc>
          <w:tcPr>
            <w:tcW w:w="5131" w:type="dxa"/>
            <w:shd w:val="clear" w:color="auto" w:fill="auto"/>
          </w:tcPr>
          <w:p w14:paraId="2C6A9649" w14:textId="77777777" w:rsidR="00AD2EED" w:rsidRPr="00695B44" w:rsidRDefault="00AD2EED" w:rsidP="00AD2EED">
            <w:pPr>
              <w:spacing w:before="40" w:after="40"/>
              <w:rPr>
                <w:rFonts w:cstheme="minorHAnsi"/>
                <w:color w:val="000000"/>
                <w:sz w:val="19"/>
                <w:szCs w:val="19"/>
              </w:rPr>
            </w:pPr>
            <w:r>
              <w:rPr>
                <w:rFonts w:cstheme="minorHAnsi"/>
                <w:color w:val="000000"/>
                <w:sz w:val="19"/>
                <w:szCs w:val="19"/>
              </w:rPr>
              <w:t>Ad hoc group</w:t>
            </w:r>
            <w:r w:rsidRPr="00695B44">
              <w:rPr>
                <w:rFonts w:cstheme="minorHAnsi"/>
                <w:color w:val="000000"/>
                <w:sz w:val="19"/>
                <w:szCs w:val="19"/>
              </w:rPr>
              <w:t xml:space="preserve"> </w:t>
            </w:r>
            <w:r>
              <w:rPr>
                <w:rFonts w:cstheme="minorHAnsi"/>
                <w:color w:val="000000"/>
                <w:sz w:val="19"/>
                <w:szCs w:val="19"/>
              </w:rPr>
              <w:t>on s</w:t>
            </w:r>
            <w:r w:rsidRPr="00695B44">
              <w:rPr>
                <w:rFonts w:cstheme="minorHAnsi"/>
                <w:color w:val="000000"/>
                <w:sz w:val="19"/>
                <w:szCs w:val="19"/>
              </w:rPr>
              <w:t>cheduling and duration of conferences, forums, assemblies and Council sessions of the Union</w:t>
            </w:r>
          </w:p>
        </w:tc>
        <w:tc>
          <w:tcPr>
            <w:tcW w:w="3953" w:type="dxa"/>
            <w:shd w:val="clear" w:color="auto" w:fill="auto"/>
          </w:tcPr>
          <w:p w14:paraId="1014418B" w14:textId="77777777" w:rsidR="00AD2EED" w:rsidRDefault="00AD2EED" w:rsidP="00AD2EED">
            <w:pPr>
              <w:spacing w:before="40" w:after="40"/>
              <w:rPr>
                <w:rFonts w:cstheme="minorHAnsi"/>
                <w:color w:val="000000"/>
                <w:sz w:val="19"/>
                <w:szCs w:val="19"/>
                <w:lang w:val="es-ES_tradnl"/>
              </w:rPr>
            </w:pPr>
            <w:r w:rsidRPr="00B55182">
              <w:rPr>
                <w:rFonts w:cstheme="minorHAnsi"/>
                <w:color w:val="000000"/>
                <w:sz w:val="19"/>
                <w:szCs w:val="19"/>
                <w:lang w:val="es-ES_tradnl"/>
              </w:rPr>
              <w:t>Ms Blanca GONZALEZ</w:t>
            </w:r>
            <w:r>
              <w:rPr>
                <w:rFonts w:cstheme="minorHAnsi"/>
                <w:color w:val="000000"/>
                <w:sz w:val="19"/>
                <w:szCs w:val="19"/>
                <w:lang w:val="es-ES_tradnl"/>
              </w:rPr>
              <w:t xml:space="preserve"> (</w:t>
            </w:r>
            <w:r w:rsidRPr="00B55182">
              <w:rPr>
                <w:rFonts w:cstheme="minorHAnsi"/>
                <w:color w:val="000000"/>
                <w:sz w:val="19"/>
                <w:szCs w:val="19"/>
                <w:lang w:val="es-ES_tradnl"/>
              </w:rPr>
              <w:t>Spain</w:t>
            </w:r>
            <w:r>
              <w:rPr>
                <w:rFonts w:cstheme="minorHAnsi"/>
                <w:color w:val="000000"/>
                <w:sz w:val="19"/>
                <w:szCs w:val="19"/>
                <w:lang w:val="es-ES_tradnl"/>
              </w:rPr>
              <w:t>)</w:t>
            </w:r>
          </w:p>
          <w:p w14:paraId="74232EDC" w14:textId="3BFCFD59" w:rsidR="00AD2EED" w:rsidRPr="001F291C" w:rsidRDefault="00AD2EED" w:rsidP="00AD2EED">
            <w:pPr>
              <w:spacing w:before="40" w:after="40"/>
              <w:rPr>
                <w:rFonts w:cstheme="minorHAnsi"/>
                <w:color w:val="000000"/>
                <w:sz w:val="19"/>
                <w:szCs w:val="19"/>
                <w:lang w:val="es-ES_tradnl"/>
              </w:rPr>
            </w:pPr>
          </w:p>
        </w:tc>
      </w:tr>
      <w:tr w:rsidR="00AD2EED" w:rsidRPr="00695B44" w14:paraId="2F62FDD0" w14:textId="77777777" w:rsidTr="00CC7009">
        <w:trPr>
          <w:cantSplit/>
          <w:trHeight w:val="300"/>
          <w:jc w:val="center"/>
        </w:trPr>
        <w:tc>
          <w:tcPr>
            <w:tcW w:w="5131" w:type="dxa"/>
            <w:shd w:val="clear" w:color="auto" w:fill="auto"/>
          </w:tcPr>
          <w:p w14:paraId="5B9CBC7E" w14:textId="77777777" w:rsidR="00AD2EED" w:rsidRDefault="00AD2EED" w:rsidP="00AD2EED">
            <w:pPr>
              <w:spacing w:before="40" w:after="40"/>
              <w:rPr>
                <w:rFonts w:cstheme="minorHAnsi"/>
                <w:color w:val="000000"/>
                <w:sz w:val="19"/>
                <w:szCs w:val="19"/>
              </w:rPr>
            </w:pPr>
            <w:r w:rsidRPr="00695B44">
              <w:rPr>
                <w:rFonts w:cstheme="minorHAnsi"/>
                <w:color w:val="000000"/>
                <w:sz w:val="19"/>
                <w:szCs w:val="19"/>
              </w:rPr>
              <w:t>Ad</w:t>
            </w:r>
            <w:r>
              <w:rPr>
                <w:rFonts w:cstheme="minorHAnsi"/>
                <w:color w:val="000000"/>
                <w:sz w:val="19"/>
                <w:szCs w:val="19"/>
              </w:rPr>
              <w:t xml:space="preserve"> hoc group on w</w:t>
            </w:r>
            <w:r w:rsidRPr="004C60E7">
              <w:rPr>
                <w:rFonts w:cstheme="minorHAnsi"/>
                <w:color w:val="000000"/>
                <w:sz w:val="19"/>
                <w:szCs w:val="19"/>
              </w:rPr>
              <w:t>orld telecommunication/information and communication technology policy forum</w:t>
            </w:r>
          </w:p>
        </w:tc>
        <w:tc>
          <w:tcPr>
            <w:tcW w:w="3953" w:type="dxa"/>
            <w:shd w:val="clear" w:color="auto" w:fill="auto"/>
          </w:tcPr>
          <w:p w14:paraId="26F81AA5" w14:textId="77777777" w:rsidR="00AD2EED" w:rsidRDefault="00AD2EED" w:rsidP="00AD2EED">
            <w:pPr>
              <w:spacing w:before="40" w:after="40"/>
              <w:rPr>
                <w:rFonts w:cstheme="minorHAnsi"/>
                <w:color w:val="000000"/>
                <w:sz w:val="19"/>
                <w:szCs w:val="19"/>
                <w:lang w:val="es-ES_tradnl"/>
              </w:rPr>
            </w:pPr>
            <w:r w:rsidRPr="00B55182">
              <w:rPr>
                <w:rFonts w:cstheme="minorHAnsi"/>
                <w:color w:val="000000"/>
                <w:sz w:val="19"/>
                <w:szCs w:val="19"/>
                <w:lang w:val="es-ES_tradnl"/>
              </w:rPr>
              <w:t>Ms Blanca GONZALEZ</w:t>
            </w:r>
            <w:r>
              <w:rPr>
                <w:rFonts w:cstheme="minorHAnsi"/>
                <w:color w:val="000000"/>
                <w:sz w:val="19"/>
                <w:szCs w:val="19"/>
                <w:lang w:val="es-ES_tradnl"/>
              </w:rPr>
              <w:t xml:space="preserve"> (</w:t>
            </w:r>
            <w:r w:rsidRPr="00B55182">
              <w:rPr>
                <w:rFonts w:cstheme="minorHAnsi"/>
                <w:color w:val="000000"/>
                <w:sz w:val="19"/>
                <w:szCs w:val="19"/>
                <w:lang w:val="es-ES_tradnl"/>
              </w:rPr>
              <w:t>Spain</w:t>
            </w:r>
            <w:r>
              <w:rPr>
                <w:rFonts w:cstheme="minorHAnsi"/>
                <w:color w:val="000000"/>
                <w:sz w:val="19"/>
                <w:szCs w:val="19"/>
                <w:lang w:val="es-ES_tradnl"/>
              </w:rPr>
              <w:t>)</w:t>
            </w:r>
          </w:p>
          <w:p w14:paraId="172302DC" w14:textId="7390233F" w:rsidR="00AD2EED" w:rsidRPr="004C60E7" w:rsidRDefault="00AD2EED" w:rsidP="00AD2EED">
            <w:pPr>
              <w:spacing w:before="40" w:after="40"/>
              <w:rPr>
                <w:rFonts w:cstheme="minorHAnsi"/>
                <w:color w:val="000000"/>
                <w:sz w:val="19"/>
                <w:szCs w:val="19"/>
                <w:lang w:val="es-ES"/>
              </w:rPr>
            </w:pPr>
          </w:p>
        </w:tc>
      </w:tr>
    </w:tbl>
    <w:p w14:paraId="24452A25" w14:textId="1E8D6F54" w:rsidR="006D504E" w:rsidRDefault="006D504E"/>
    <w:p w14:paraId="32F4A6E2" w14:textId="77777777" w:rsidR="006D504E" w:rsidRDefault="006D504E">
      <w:r>
        <w:br w:type="page"/>
      </w:r>
    </w:p>
    <w:p w14:paraId="0B92ECA7" w14:textId="77777777" w:rsidR="006D504E" w:rsidRDefault="006D504E"/>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3953"/>
      </w:tblGrid>
      <w:tr w:rsidR="00AD2EED" w:rsidRPr="001F291C" w14:paraId="7BEE5D5D" w14:textId="77777777" w:rsidTr="00CC7009">
        <w:trPr>
          <w:trHeight w:val="300"/>
          <w:jc w:val="center"/>
        </w:trPr>
        <w:tc>
          <w:tcPr>
            <w:tcW w:w="5131" w:type="dxa"/>
            <w:shd w:val="clear" w:color="auto" w:fill="BFBFBF" w:themeFill="background1" w:themeFillShade="BF"/>
            <w:hideMark/>
          </w:tcPr>
          <w:p w14:paraId="24A73E85" w14:textId="77777777" w:rsidR="00AD2EED" w:rsidRPr="001F291C" w:rsidRDefault="00AD2EED" w:rsidP="00AD2EED">
            <w:pPr>
              <w:spacing w:before="40" w:after="40"/>
              <w:rPr>
                <w:rFonts w:cstheme="minorHAnsi"/>
                <w:b/>
                <w:color w:val="000000"/>
                <w:sz w:val="19"/>
                <w:szCs w:val="19"/>
                <w:lang w:val="en-US"/>
              </w:rPr>
            </w:pPr>
            <w:r w:rsidRPr="001F291C">
              <w:rPr>
                <w:rFonts w:cstheme="minorHAnsi"/>
                <w:b/>
                <w:color w:val="000000"/>
                <w:sz w:val="19"/>
                <w:szCs w:val="19"/>
                <w:lang w:val="en-US"/>
              </w:rPr>
              <w:t>WORKING GROUP OF THE PLENARY</w:t>
            </w:r>
          </w:p>
        </w:tc>
        <w:tc>
          <w:tcPr>
            <w:tcW w:w="3953" w:type="dxa"/>
            <w:shd w:val="clear" w:color="auto" w:fill="BFBFBF" w:themeFill="background1" w:themeFillShade="BF"/>
            <w:hideMark/>
          </w:tcPr>
          <w:p w14:paraId="3F1643D1" w14:textId="77777777" w:rsidR="00AD2EED" w:rsidRPr="001F291C" w:rsidRDefault="00AD2EED" w:rsidP="00AD2EED">
            <w:pPr>
              <w:spacing w:before="40" w:after="40"/>
              <w:rPr>
                <w:rFonts w:cstheme="minorHAnsi"/>
                <w:b/>
                <w:color w:val="000000"/>
                <w:sz w:val="19"/>
                <w:szCs w:val="19"/>
                <w:lang w:val="en-US"/>
              </w:rPr>
            </w:pPr>
            <w:r w:rsidRPr="001F291C">
              <w:rPr>
                <w:rFonts w:cstheme="minorHAnsi"/>
                <w:b/>
                <w:color w:val="000000"/>
                <w:sz w:val="19"/>
                <w:szCs w:val="19"/>
                <w:lang w:val="en-US"/>
              </w:rPr>
              <w:t>CHAIR</w:t>
            </w:r>
          </w:p>
        </w:tc>
      </w:tr>
      <w:tr w:rsidR="00AD2EED" w:rsidRPr="001F291C" w14:paraId="77A9A890" w14:textId="77777777" w:rsidTr="00CC7009">
        <w:trPr>
          <w:trHeight w:val="670"/>
          <w:jc w:val="center"/>
        </w:trPr>
        <w:tc>
          <w:tcPr>
            <w:tcW w:w="5131" w:type="dxa"/>
            <w:tcBorders>
              <w:top w:val="nil"/>
              <w:bottom w:val="nil"/>
            </w:tcBorders>
            <w:shd w:val="clear" w:color="auto" w:fill="auto"/>
          </w:tcPr>
          <w:p w14:paraId="1C64A5B3"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 xml:space="preserve">Res.137 (Next generation networks), </w:t>
            </w:r>
          </w:p>
        </w:tc>
        <w:tc>
          <w:tcPr>
            <w:tcW w:w="3953" w:type="dxa"/>
            <w:tcBorders>
              <w:top w:val="nil"/>
              <w:bottom w:val="nil"/>
            </w:tcBorders>
            <w:shd w:val="clear" w:color="auto" w:fill="auto"/>
          </w:tcPr>
          <w:p w14:paraId="5C358909" w14:textId="77777777" w:rsidR="00AD2EED" w:rsidRPr="004C60E7" w:rsidRDefault="00AD2EED" w:rsidP="00AD2EED">
            <w:pPr>
              <w:spacing w:before="40" w:after="40"/>
              <w:rPr>
                <w:rFonts w:cstheme="minorHAnsi"/>
                <w:color w:val="000000"/>
                <w:sz w:val="19"/>
                <w:szCs w:val="19"/>
                <w:lang w:val="es-ES"/>
              </w:rPr>
            </w:pPr>
            <w:r w:rsidRPr="004C60E7">
              <w:rPr>
                <w:rFonts w:cstheme="minorHAnsi"/>
                <w:color w:val="000000"/>
                <w:sz w:val="19"/>
                <w:szCs w:val="19"/>
                <w:lang w:val="es-ES"/>
              </w:rPr>
              <w:t>Ms Biliana ZOLKOVA (Bulgaria)</w:t>
            </w:r>
          </w:p>
          <w:p w14:paraId="0CD70347" w14:textId="7BA51D39" w:rsidR="00AD2EED" w:rsidRPr="004C60E7" w:rsidRDefault="00AD2EED" w:rsidP="00AD2EED">
            <w:pPr>
              <w:spacing w:before="40" w:after="40"/>
              <w:rPr>
                <w:rFonts w:cstheme="minorHAnsi"/>
                <w:b/>
                <w:bCs/>
                <w:color w:val="000000"/>
                <w:sz w:val="19"/>
                <w:szCs w:val="19"/>
                <w:lang w:val="es-ES"/>
              </w:rPr>
            </w:pPr>
          </w:p>
        </w:tc>
      </w:tr>
      <w:tr w:rsidR="00A773AA" w:rsidRPr="001F291C" w14:paraId="340C3AA7" w14:textId="77777777" w:rsidTr="00CC7009">
        <w:trPr>
          <w:trHeight w:val="670"/>
          <w:jc w:val="center"/>
        </w:trPr>
        <w:tc>
          <w:tcPr>
            <w:tcW w:w="5131" w:type="dxa"/>
            <w:tcBorders>
              <w:top w:val="nil"/>
              <w:bottom w:val="nil"/>
            </w:tcBorders>
            <w:shd w:val="clear" w:color="auto" w:fill="auto"/>
          </w:tcPr>
          <w:p w14:paraId="0F3A9038" w14:textId="37B685D2" w:rsidR="00A773AA" w:rsidRPr="001F291C" w:rsidRDefault="00A773AA" w:rsidP="00A773AA">
            <w:pPr>
              <w:spacing w:before="40" w:after="40"/>
              <w:rPr>
                <w:rFonts w:cstheme="minorHAnsi"/>
                <w:color w:val="000000"/>
                <w:sz w:val="19"/>
                <w:szCs w:val="19"/>
                <w:lang w:val="en-US"/>
              </w:rPr>
            </w:pPr>
            <w:r w:rsidRPr="001F291C">
              <w:rPr>
                <w:rFonts w:cstheme="minorHAnsi"/>
                <w:color w:val="000000"/>
                <w:sz w:val="19"/>
                <w:szCs w:val="19"/>
                <w:lang w:val="en-US"/>
              </w:rPr>
              <w:t>Ad hoc group on Res. 19</w:t>
            </w:r>
            <w:r>
              <w:rPr>
                <w:rFonts w:cstheme="minorHAnsi"/>
                <w:color w:val="000000"/>
                <w:sz w:val="19"/>
                <w:szCs w:val="19"/>
                <w:lang w:val="en-US"/>
              </w:rPr>
              <w:t>8</w:t>
            </w:r>
            <w:r w:rsidRPr="001F291C">
              <w:rPr>
                <w:rFonts w:cstheme="minorHAnsi"/>
                <w:color w:val="000000"/>
                <w:sz w:val="19"/>
                <w:szCs w:val="19"/>
                <w:lang w:val="en-US"/>
              </w:rPr>
              <w:t xml:space="preserve"> (</w:t>
            </w:r>
            <w:r>
              <w:rPr>
                <w:rFonts w:cstheme="minorHAnsi"/>
                <w:color w:val="000000"/>
                <w:sz w:val="19"/>
                <w:szCs w:val="19"/>
                <w:lang w:val="en-US"/>
              </w:rPr>
              <w:t>Youth</w:t>
            </w:r>
            <w:r w:rsidRPr="001F291C">
              <w:rPr>
                <w:rFonts w:cstheme="minorHAnsi"/>
                <w:color w:val="000000"/>
                <w:sz w:val="19"/>
                <w:szCs w:val="19"/>
                <w:lang w:val="en-US"/>
              </w:rPr>
              <w:t>)</w:t>
            </w:r>
          </w:p>
        </w:tc>
        <w:tc>
          <w:tcPr>
            <w:tcW w:w="3953" w:type="dxa"/>
            <w:tcBorders>
              <w:top w:val="nil"/>
              <w:bottom w:val="nil"/>
            </w:tcBorders>
            <w:shd w:val="clear" w:color="auto" w:fill="auto"/>
          </w:tcPr>
          <w:p w14:paraId="54BB6486" w14:textId="703891E4" w:rsidR="00A773AA" w:rsidRPr="004C60E7" w:rsidRDefault="00A773AA" w:rsidP="00A773AA">
            <w:pPr>
              <w:spacing w:before="40" w:after="40"/>
              <w:rPr>
                <w:rFonts w:cstheme="minorHAnsi"/>
                <w:color w:val="000000"/>
                <w:sz w:val="19"/>
                <w:szCs w:val="19"/>
                <w:lang w:val="es-ES"/>
              </w:rPr>
            </w:pPr>
            <w:r w:rsidRPr="001F291C">
              <w:rPr>
                <w:rFonts w:cstheme="minorHAnsi"/>
                <w:color w:val="000000"/>
                <w:sz w:val="19"/>
                <w:szCs w:val="19"/>
                <w:lang w:val="en-US"/>
              </w:rPr>
              <w:t>Mr Mihail ION (Romania)</w:t>
            </w:r>
            <w:r w:rsidRPr="001F291C">
              <w:rPr>
                <w:rFonts w:cstheme="minorHAnsi"/>
                <w:color w:val="000000"/>
                <w:sz w:val="19"/>
                <w:szCs w:val="19"/>
                <w:lang w:val="en-US"/>
              </w:rPr>
              <w:br/>
            </w:r>
          </w:p>
        </w:tc>
      </w:tr>
      <w:tr w:rsidR="00AD2EED" w:rsidRPr="00A93415" w14:paraId="452A2240" w14:textId="77777777" w:rsidTr="00CC7009">
        <w:trPr>
          <w:cantSplit/>
          <w:trHeight w:val="395"/>
          <w:jc w:val="center"/>
        </w:trPr>
        <w:tc>
          <w:tcPr>
            <w:tcW w:w="5131" w:type="dxa"/>
            <w:tcBorders>
              <w:top w:val="single" w:sz="4" w:space="0" w:color="auto"/>
              <w:left w:val="single" w:sz="4" w:space="0" w:color="auto"/>
              <w:bottom w:val="nil"/>
              <w:right w:val="single" w:sz="4" w:space="0" w:color="auto"/>
            </w:tcBorders>
            <w:shd w:val="clear" w:color="auto" w:fill="auto"/>
          </w:tcPr>
          <w:p w14:paraId="22F01C96"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 xml:space="preserve">Ad hoc group on Innovation </w:t>
            </w:r>
          </w:p>
        </w:tc>
        <w:tc>
          <w:tcPr>
            <w:tcW w:w="3953" w:type="dxa"/>
            <w:vMerge w:val="restart"/>
            <w:tcBorders>
              <w:left w:val="single" w:sz="4" w:space="0" w:color="auto"/>
            </w:tcBorders>
            <w:shd w:val="clear" w:color="auto" w:fill="auto"/>
          </w:tcPr>
          <w:p w14:paraId="70855FBC" w14:textId="085EFEEF" w:rsidR="00AD2EED" w:rsidRPr="00537BF9" w:rsidRDefault="00AD2EED" w:rsidP="00AD2EED">
            <w:pPr>
              <w:spacing w:before="40" w:after="40"/>
              <w:rPr>
                <w:rFonts w:cstheme="minorHAnsi"/>
                <w:color w:val="000000"/>
                <w:sz w:val="19"/>
                <w:szCs w:val="19"/>
                <w:lang w:val="es-ES"/>
              </w:rPr>
            </w:pPr>
            <w:r w:rsidRPr="001F291C">
              <w:rPr>
                <w:rFonts w:cstheme="minorHAnsi"/>
                <w:color w:val="000000"/>
                <w:sz w:val="19"/>
                <w:szCs w:val="19"/>
                <w:lang w:val="es-ES"/>
              </w:rPr>
              <w:t>Ms Inga RIMKEVICIENE (Lithuania)</w:t>
            </w:r>
            <w:r w:rsidRPr="001F291C">
              <w:rPr>
                <w:rFonts w:cstheme="minorHAnsi"/>
                <w:color w:val="000000"/>
                <w:sz w:val="19"/>
                <w:szCs w:val="19"/>
                <w:lang w:val="es-ES"/>
              </w:rPr>
              <w:br/>
            </w:r>
          </w:p>
        </w:tc>
      </w:tr>
      <w:tr w:rsidR="00AD2EED" w:rsidRPr="001F291C" w14:paraId="3A07C6A0" w14:textId="77777777" w:rsidTr="00CC7009">
        <w:trPr>
          <w:cantSplit/>
          <w:trHeight w:val="395"/>
          <w:jc w:val="center"/>
        </w:trPr>
        <w:tc>
          <w:tcPr>
            <w:tcW w:w="5131" w:type="dxa"/>
            <w:tcBorders>
              <w:top w:val="nil"/>
              <w:left w:val="single" w:sz="4" w:space="0" w:color="auto"/>
              <w:bottom w:val="nil"/>
              <w:right w:val="single" w:sz="4" w:space="0" w:color="auto"/>
            </w:tcBorders>
            <w:shd w:val="clear" w:color="auto" w:fill="auto"/>
          </w:tcPr>
          <w:p w14:paraId="0C0CBB79"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Res. 205 Technology-centric innovation</w:t>
            </w:r>
          </w:p>
        </w:tc>
        <w:tc>
          <w:tcPr>
            <w:tcW w:w="3953" w:type="dxa"/>
            <w:vMerge/>
            <w:tcBorders>
              <w:left w:val="single" w:sz="4" w:space="0" w:color="auto"/>
            </w:tcBorders>
            <w:shd w:val="clear" w:color="auto" w:fill="auto"/>
          </w:tcPr>
          <w:p w14:paraId="5F80CFAC" w14:textId="77777777" w:rsidR="00AD2EED" w:rsidRPr="001F291C" w:rsidRDefault="00AD2EED" w:rsidP="00AD2EED">
            <w:pPr>
              <w:spacing w:before="40" w:after="40"/>
              <w:rPr>
                <w:rFonts w:cstheme="minorHAnsi"/>
                <w:color w:val="000000"/>
                <w:sz w:val="19"/>
                <w:szCs w:val="19"/>
                <w:lang w:val="es-ES"/>
              </w:rPr>
            </w:pPr>
          </w:p>
        </w:tc>
      </w:tr>
      <w:tr w:rsidR="00AD2EED" w:rsidRPr="001F291C" w14:paraId="6C719537" w14:textId="77777777" w:rsidTr="00CC7009">
        <w:trPr>
          <w:cantSplit/>
          <w:trHeight w:val="395"/>
          <w:jc w:val="center"/>
        </w:trPr>
        <w:tc>
          <w:tcPr>
            <w:tcW w:w="5131" w:type="dxa"/>
            <w:tcBorders>
              <w:top w:val="nil"/>
              <w:left w:val="single" w:sz="4" w:space="0" w:color="auto"/>
              <w:bottom w:val="nil"/>
              <w:right w:val="single" w:sz="4" w:space="0" w:color="auto"/>
            </w:tcBorders>
            <w:shd w:val="clear" w:color="auto" w:fill="auto"/>
          </w:tcPr>
          <w:p w14:paraId="771E6789"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New Res (Digital platforms)</w:t>
            </w:r>
          </w:p>
        </w:tc>
        <w:tc>
          <w:tcPr>
            <w:tcW w:w="3953" w:type="dxa"/>
            <w:vMerge/>
            <w:tcBorders>
              <w:left w:val="single" w:sz="4" w:space="0" w:color="auto"/>
            </w:tcBorders>
            <w:shd w:val="clear" w:color="auto" w:fill="auto"/>
          </w:tcPr>
          <w:p w14:paraId="6476F19F" w14:textId="77777777" w:rsidR="00AD2EED" w:rsidRPr="001F291C" w:rsidRDefault="00AD2EED" w:rsidP="00AD2EED">
            <w:pPr>
              <w:spacing w:before="40" w:after="40"/>
              <w:rPr>
                <w:rFonts w:cstheme="minorHAnsi"/>
                <w:color w:val="000000"/>
                <w:sz w:val="19"/>
                <w:szCs w:val="19"/>
                <w:lang w:val="es-ES"/>
              </w:rPr>
            </w:pPr>
          </w:p>
        </w:tc>
      </w:tr>
      <w:tr w:rsidR="00AD2EED" w:rsidRPr="001F291C" w14:paraId="6173DA92" w14:textId="77777777" w:rsidTr="00CC7009">
        <w:trPr>
          <w:cantSplit/>
          <w:trHeight w:val="395"/>
          <w:jc w:val="center"/>
        </w:trPr>
        <w:tc>
          <w:tcPr>
            <w:tcW w:w="5131" w:type="dxa"/>
            <w:tcBorders>
              <w:top w:val="nil"/>
              <w:left w:val="single" w:sz="4" w:space="0" w:color="auto"/>
              <w:bottom w:val="single" w:sz="4" w:space="0" w:color="auto"/>
              <w:right w:val="single" w:sz="4" w:space="0" w:color="auto"/>
            </w:tcBorders>
            <w:shd w:val="clear" w:color="auto" w:fill="auto"/>
          </w:tcPr>
          <w:p w14:paraId="40D0069E" w14:textId="77777777" w:rsidR="00AD2EED" w:rsidRPr="001F291C" w:rsidRDefault="00AD2EED" w:rsidP="00AD2EED">
            <w:pPr>
              <w:spacing w:before="40" w:after="40"/>
              <w:rPr>
                <w:rFonts w:cstheme="minorHAnsi"/>
                <w:color w:val="000000"/>
                <w:sz w:val="19"/>
                <w:szCs w:val="19"/>
                <w:lang w:val="en-US"/>
              </w:rPr>
            </w:pPr>
            <w:r w:rsidRPr="001F291C">
              <w:rPr>
                <w:rFonts w:cstheme="minorHAnsi"/>
                <w:color w:val="000000"/>
                <w:sz w:val="19"/>
                <w:szCs w:val="19"/>
                <w:lang w:val="en-US"/>
              </w:rPr>
              <w:t>New Res (Bridging the data divide)</w:t>
            </w:r>
          </w:p>
        </w:tc>
        <w:tc>
          <w:tcPr>
            <w:tcW w:w="3953" w:type="dxa"/>
            <w:vMerge/>
            <w:tcBorders>
              <w:left w:val="single" w:sz="4" w:space="0" w:color="auto"/>
            </w:tcBorders>
            <w:shd w:val="clear" w:color="auto" w:fill="auto"/>
          </w:tcPr>
          <w:p w14:paraId="079AC474" w14:textId="77777777" w:rsidR="00AD2EED" w:rsidRPr="001F291C" w:rsidRDefault="00AD2EED" w:rsidP="00AD2EED">
            <w:pPr>
              <w:spacing w:before="40" w:after="40"/>
              <w:rPr>
                <w:rFonts w:cstheme="minorHAnsi"/>
                <w:color w:val="000000"/>
                <w:sz w:val="19"/>
                <w:szCs w:val="19"/>
              </w:rPr>
            </w:pPr>
          </w:p>
        </w:tc>
      </w:tr>
    </w:tbl>
    <w:p w14:paraId="398BD3AD" w14:textId="77777777" w:rsidR="00300684" w:rsidRDefault="00300684" w:rsidP="00A41AF2">
      <w:pPr>
        <w:spacing w:after="0" w:line="276" w:lineRule="auto"/>
        <w:jc w:val="both"/>
        <w:rPr>
          <w:rFonts w:cstheme="minorHAnsi"/>
          <w:sz w:val="24"/>
          <w:szCs w:val="24"/>
          <w:lang w:val="en-GB"/>
        </w:rPr>
      </w:pPr>
    </w:p>
    <w:p w14:paraId="29B5B33C" w14:textId="299C7529" w:rsidR="00C44D45" w:rsidRPr="002F49B6" w:rsidRDefault="0071029C" w:rsidP="00925E20">
      <w:pPr>
        <w:spacing w:line="276" w:lineRule="auto"/>
        <w:jc w:val="both"/>
        <w:rPr>
          <w:rFonts w:cstheme="minorHAnsi"/>
          <w:b/>
          <w:bCs/>
          <w:sz w:val="24"/>
          <w:szCs w:val="24"/>
          <w:lang w:val="en-GB"/>
        </w:rPr>
      </w:pPr>
      <w:r>
        <w:rPr>
          <w:rFonts w:cstheme="minorHAnsi"/>
          <w:b/>
          <w:bCs/>
          <w:sz w:val="24"/>
          <w:szCs w:val="24"/>
          <w:lang w:val="en-GB"/>
        </w:rPr>
        <w:t>3</w:t>
      </w:r>
      <w:r w:rsidR="00516914" w:rsidRPr="002F49B6">
        <w:rPr>
          <w:rFonts w:cstheme="minorHAnsi"/>
          <w:b/>
          <w:bCs/>
          <w:sz w:val="24"/>
          <w:szCs w:val="24"/>
          <w:lang w:val="en-GB"/>
        </w:rPr>
        <w:t>. General overview</w:t>
      </w:r>
      <w:r w:rsidR="005C556B">
        <w:rPr>
          <w:rFonts w:cstheme="minorHAnsi"/>
          <w:b/>
          <w:bCs/>
          <w:sz w:val="24"/>
          <w:szCs w:val="24"/>
          <w:lang w:val="en-GB"/>
        </w:rPr>
        <w:t xml:space="preserve"> and commentary</w:t>
      </w:r>
    </w:p>
    <w:p w14:paraId="39E52BE8" w14:textId="1A146A17" w:rsidR="006F05A9" w:rsidRPr="006F05A9" w:rsidRDefault="006F05A9" w:rsidP="004312DE">
      <w:pPr>
        <w:spacing w:line="276" w:lineRule="auto"/>
        <w:jc w:val="both"/>
        <w:rPr>
          <w:rFonts w:cstheme="minorHAnsi"/>
          <w:sz w:val="24"/>
          <w:szCs w:val="24"/>
          <w:u w:val="single"/>
          <w:lang w:val="en-GB"/>
        </w:rPr>
      </w:pPr>
      <w:r w:rsidRPr="006F05A9">
        <w:rPr>
          <w:rFonts w:cstheme="minorHAnsi"/>
          <w:sz w:val="24"/>
          <w:szCs w:val="24"/>
          <w:u w:val="single"/>
          <w:lang w:val="en-GB"/>
        </w:rPr>
        <w:t>Preparatory process</w:t>
      </w:r>
    </w:p>
    <w:p w14:paraId="11CB241E" w14:textId="489FEA1D" w:rsidR="00B914CC" w:rsidRDefault="00B914CC" w:rsidP="004312DE">
      <w:pPr>
        <w:spacing w:line="276" w:lineRule="auto"/>
        <w:jc w:val="both"/>
        <w:rPr>
          <w:rFonts w:cstheme="minorHAnsi"/>
          <w:sz w:val="24"/>
          <w:szCs w:val="24"/>
          <w:lang w:val="en-GB"/>
        </w:rPr>
      </w:pPr>
      <w:r>
        <w:rPr>
          <w:rFonts w:cstheme="minorHAnsi"/>
          <w:sz w:val="24"/>
          <w:szCs w:val="24"/>
          <w:lang w:val="en-GB"/>
        </w:rPr>
        <w:t xml:space="preserve">The </w:t>
      </w:r>
      <w:r w:rsidRPr="00A05F13">
        <w:rPr>
          <w:rFonts w:cstheme="minorHAnsi"/>
          <w:b/>
          <w:bCs/>
          <w:sz w:val="24"/>
          <w:szCs w:val="24"/>
          <w:lang w:val="en-GB"/>
        </w:rPr>
        <w:t>preparatory process</w:t>
      </w:r>
      <w:r>
        <w:rPr>
          <w:rFonts w:cstheme="minorHAnsi"/>
          <w:sz w:val="24"/>
          <w:szCs w:val="24"/>
          <w:lang w:val="en-GB"/>
        </w:rPr>
        <w:t xml:space="preserve"> was particularly challenging for this PP, due to the coincidence of WTSA and WTDC in the same calendar year</w:t>
      </w:r>
      <w:r w:rsidR="00112023">
        <w:rPr>
          <w:rFonts w:cstheme="minorHAnsi"/>
          <w:sz w:val="24"/>
          <w:szCs w:val="24"/>
          <w:lang w:val="en-GB"/>
        </w:rPr>
        <w:t xml:space="preserve">, the latter only a few months earlier. This made our work intensive at times, although it also enabled clearer links to be made between the </w:t>
      </w:r>
      <w:r w:rsidR="00F7045A">
        <w:rPr>
          <w:rFonts w:cstheme="minorHAnsi"/>
          <w:sz w:val="24"/>
          <w:szCs w:val="24"/>
          <w:lang w:val="en-GB"/>
        </w:rPr>
        <w:t>three major conferences, which was not unhelpful. For example, the negotiations on AI benefitted from recent exchanges on this topic</w:t>
      </w:r>
      <w:r w:rsidR="00711F24">
        <w:rPr>
          <w:rFonts w:cstheme="minorHAnsi"/>
          <w:sz w:val="24"/>
          <w:szCs w:val="24"/>
          <w:lang w:val="en-GB"/>
        </w:rPr>
        <w:t xml:space="preserve"> at WTSA, it was easier to come to consensus </w:t>
      </w:r>
      <w:r w:rsidR="005B0FFE">
        <w:rPr>
          <w:rFonts w:cstheme="minorHAnsi"/>
          <w:sz w:val="24"/>
          <w:szCs w:val="24"/>
          <w:lang w:val="en-GB"/>
        </w:rPr>
        <w:t>with recent knowledge about the objectives of some of the other regions</w:t>
      </w:r>
      <w:r w:rsidR="005C556B">
        <w:rPr>
          <w:rFonts w:cstheme="minorHAnsi"/>
          <w:sz w:val="24"/>
          <w:szCs w:val="24"/>
          <w:lang w:val="en-GB"/>
        </w:rPr>
        <w:t xml:space="preserve">. However, it </w:t>
      </w:r>
      <w:r w:rsidR="00923A4D">
        <w:rPr>
          <w:rFonts w:cstheme="minorHAnsi"/>
          <w:sz w:val="24"/>
          <w:szCs w:val="24"/>
          <w:lang w:val="en-GB"/>
        </w:rPr>
        <w:t xml:space="preserve">also meant that the </w:t>
      </w:r>
      <w:r w:rsidR="00C60E2D">
        <w:rPr>
          <w:rFonts w:cstheme="minorHAnsi"/>
          <w:sz w:val="24"/>
          <w:szCs w:val="24"/>
          <w:lang w:val="en-GB"/>
        </w:rPr>
        <w:t xml:space="preserve">most recent </w:t>
      </w:r>
      <w:r w:rsidR="00923A4D">
        <w:rPr>
          <w:rFonts w:cstheme="minorHAnsi"/>
          <w:sz w:val="24"/>
          <w:szCs w:val="24"/>
          <w:lang w:val="en-GB"/>
        </w:rPr>
        <w:t>outcomes of WTDC</w:t>
      </w:r>
      <w:r w:rsidR="00923EF3">
        <w:rPr>
          <w:rFonts w:cstheme="minorHAnsi"/>
          <w:sz w:val="24"/>
          <w:szCs w:val="24"/>
          <w:lang w:val="en-GB"/>
        </w:rPr>
        <w:t xml:space="preserve"> were discussed at some length</w:t>
      </w:r>
      <w:r w:rsidR="00923A4D">
        <w:rPr>
          <w:rFonts w:cstheme="minorHAnsi"/>
          <w:sz w:val="24"/>
          <w:szCs w:val="24"/>
          <w:lang w:val="en-GB"/>
        </w:rPr>
        <w:t xml:space="preserve">, </w:t>
      </w:r>
      <w:r w:rsidR="00E4703E">
        <w:rPr>
          <w:rFonts w:cstheme="minorHAnsi"/>
          <w:sz w:val="24"/>
          <w:szCs w:val="24"/>
          <w:lang w:val="en-GB"/>
        </w:rPr>
        <w:t xml:space="preserve">which for example in the case of the Kigali Action Plan informing the ITU’s Strategic Plan, meant that the three sectors of the Union were not always </w:t>
      </w:r>
      <w:r w:rsidR="004A0382">
        <w:rPr>
          <w:rFonts w:cstheme="minorHAnsi"/>
          <w:sz w:val="24"/>
          <w:szCs w:val="24"/>
          <w:lang w:val="en-GB"/>
        </w:rPr>
        <w:t xml:space="preserve">equally </w:t>
      </w:r>
      <w:r w:rsidR="00A6692C">
        <w:rPr>
          <w:rFonts w:cstheme="minorHAnsi"/>
          <w:sz w:val="24"/>
          <w:szCs w:val="24"/>
          <w:lang w:val="en-GB"/>
        </w:rPr>
        <w:t xml:space="preserve">balanced in </w:t>
      </w:r>
      <w:r w:rsidR="00923EF3">
        <w:rPr>
          <w:rFonts w:cstheme="minorHAnsi"/>
          <w:sz w:val="24"/>
          <w:szCs w:val="24"/>
          <w:lang w:val="en-GB"/>
        </w:rPr>
        <w:t>some discussions</w:t>
      </w:r>
      <w:r w:rsidR="004A0382">
        <w:rPr>
          <w:rFonts w:cstheme="minorHAnsi"/>
          <w:sz w:val="24"/>
          <w:szCs w:val="24"/>
          <w:lang w:val="en-GB"/>
        </w:rPr>
        <w:t>.</w:t>
      </w:r>
    </w:p>
    <w:p w14:paraId="2DC1C58F" w14:textId="0791DFB7" w:rsidR="00CE5667" w:rsidRDefault="00282167" w:rsidP="004312DE">
      <w:pPr>
        <w:spacing w:line="276" w:lineRule="auto"/>
        <w:jc w:val="both"/>
        <w:rPr>
          <w:rFonts w:cstheme="minorHAnsi"/>
          <w:sz w:val="24"/>
          <w:szCs w:val="24"/>
          <w:lang w:val="en-GB"/>
        </w:rPr>
      </w:pPr>
      <w:r>
        <w:rPr>
          <w:rFonts w:cstheme="minorHAnsi"/>
          <w:sz w:val="24"/>
          <w:szCs w:val="24"/>
          <w:lang w:val="en-GB"/>
        </w:rPr>
        <w:t xml:space="preserve">In terms of </w:t>
      </w:r>
      <w:r w:rsidRPr="00282167">
        <w:rPr>
          <w:rFonts w:cstheme="minorHAnsi"/>
          <w:b/>
          <w:bCs/>
          <w:sz w:val="24"/>
          <w:szCs w:val="24"/>
          <w:lang w:val="en-GB"/>
        </w:rPr>
        <w:t>timing</w:t>
      </w:r>
      <w:r>
        <w:rPr>
          <w:rFonts w:cstheme="minorHAnsi"/>
          <w:sz w:val="24"/>
          <w:szCs w:val="24"/>
          <w:lang w:val="en-GB"/>
        </w:rPr>
        <w:t xml:space="preserve">, </w:t>
      </w:r>
      <w:r w:rsidR="00516914" w:rsidRPr="002F49B6">
        <w:rPr>
          <w:rFonts w:cstheme="minorHAnsi"/>
          <w:sz w:val="24"/>
          <w:szCs w:val="24"/>
          <w:lang w:val="en-GB"/>
        </w:rPr>
        <w:t xml:space="preserve">CEPT presented </w:t>
      </w:r>
      <w:r w:rsidR="00B914CC">
        <w:rPr>
          <w:rFonts w:cstheme="minorHAnsi"/>
          <w:sz w:val="24"/>
          <w:szCs w:val="24"/>
          <w:lang w:val="en-GB"/>
        </w:rPr>
        <w:t xml:space="preserve">its </w:t>
      </w:r>
      <w:r w:rsidR="0051299B">
        <w:rPr>
          <w:rFonts w:cstheme="minorHAnsi"/>
          <w:sz w:val="24"/>
          <w:szCs w:val="24"/>
          <w:lang w:val="en-GB"/>
        </w:rPr>
        <w:t xml:space="preserve">ECP </w:t>
      </w:r>
      <w:r w:rsidR="00516914" w:rsidRPr="002F49B6">
        <w:rPr>
          <w:rFonts w:cstheme="minorHAnsi"/>
          <w:sz w:val="24"/>
          <w:szCs w:val="24"/>
          <w:lang w:val="en-GB"/>
        </w:rPr>
        <w:t xml:space="preserve">proposals to the Conference </w:t>
      </w:r>
      <w:r w:rsidR="00D80766">
        <w:rPr>
          <w:rFonts w:cstheme="minorHAnsi"/>
          <w:sz w:val="24"/>
          <w:szCs w:val="24"/>
          <w:lang w:val="en-GB"/>
        </w:rPr>
        <w:t xml:space="preserve">significantly in advance of other regions. One possible consequence of this was seeing some of our proposals reflected in </w:t>
      </w:r>
      <w:r w:rsidR="00CE5667">
        <w:rPr>
          <w:rFonts w:cstheme="minorHAnsi"/>
          <w:sz w:val="24"/>
          <w:szCs w:val="24"/>
          <w:lang w:val="en-GB"/>
        </w:rPr>
        <w:t>those from other regions, particularly CITEL. However, other regions present</w:t>
      </w:r>
      <w:r w:rsidR="00C04A5A">
        <w:rPr>
          <w:rFonts w:cstheme="minorHAnsi"/>
          <w:sz w:val="24"/>
          <w:szCs w:val="24"/>
          <w:lang w:val="en-GB"/>
        </w:rPr>
        <w:t>ed</w:t>
      </w:r>
      <w:r w:rsidR="00CE5667">
        <w:rPr>
          <w:rFonts w:cstheme="minorHAnsi"/>
          <w:sz w:val="24"/>
          <w:szCs w:val="24"/>
          <w:lang w:val="en-GB"/>
        </w:rPr>
        <w:t xml:space="preserve"> proposals on </w:t>
      </w:r>
      <w:r w:rsidR="00C04A5A">
        <w:rPr>
          <w:rFonts w:cstheme="minorHAnsi"/>
          <w:sz w:val="24"/>
          <w:szCs w:val="24"/>
          <w:lang w:val="en-GB"/>
        </w:rPr>
        <w:t xml:space="preserve">or very close to </w:t>
      </w:r>
      <w:r w:rsidR="00CE5667">
        <w:rPr>
          <w:rFonts w:cstheme="minorHAnsi"/>
          <w:sz w:val="24"/>
          <w:szCs w:val="24"/>
          <w:lang w:val="en-GB"/>
        </w:rPr>
        <w:t>the deadline for submissions</w:t>
      </w:r>
      <w:r>
        <w:rPr>
          <w:rFonts w:cstheme="minorHAnsi"/>
          <w:sz w:val="24"/>
          <w:szCs w:val="24"/>
          <w:lang w:val="en-GB"/>
        </w:rPr>
        <w:t>, which presented a challenge to our preparation, as it has in the past</w:t>
      </w:r>
      <w:r w:rsidR="00CE5667">
        <w:rPr>
          <w:rFonts w:cstheme="minorHAnsi"/>
          <w:sz w:val="24"/>
          <w:szCs w:val="24"/>
          <w:lang w:val="en-GB"/>
        </w:rPr>
        <w:t>.</w:t>
      </w:r>
    </w:p>
    <w:p w14:paraId="3BC9EDD7" w14:textId="2CC8A655" w:rsidR="00CE5667" w:rsidRDefault="0051299B" w:rsidP="004312DE">
      <w:pPr>
        <w:spacing w:line="276" w:lineRule="auto"/>
        <w:jc w:val="both"/>
        <w:rPr>
          <w:rFonts w:cstheme="minorHAnsi"/>
          <w:sz w:val="24"/>
          <w:szCs w:val="24"/>
          <w:lang w:val="en-GB"/>
        </w:rPr>
      </w:pPr>
      <w:r>
        <w:rPr>
          <w:rFonts w:cstheme="minorHAnsi"/>
          <w:sz w:val="24"/>
          <w:szCs w:val="24"/>
          <w:lang w:val="en-GB"/>
        </w:rPr>
        <w:t xml:space="preserve">In particular </w:t>
      </w:r>
      <w:r w:rsidR="0047313F">
        <w:rPr>
          <w:rFonts w:cstheme="minorHAnsi"/>
          <w:sz w:val="24"/>
          <w:szCs w:val="24"/>
          <w:lang w:val="en-GB"/>
        </w:rPr>
        <w:t xml:space="preserve">the work on the </w:t>
      </w:r>
      <w:r w:rsidR="0047313F" w:rsidRPr="0051299B">
        <w:rPr>
          <w:rFonts w:cstheme="minorHAnsi"/>
          <w:b/>
          <w:bCs/>
          <w:sz w:val="24"/>
          <w:szCs w:val="24"/>
          <w:lang w:val="en-GB"/>
        </w:rPr>
        <w:t>brief</w:t>
      </w:r>
      <w:r w:rsidR="0047313F">
        <w:rPr>
          <w:rFonts w:cstheme="minorHAnsi"/>
          <w:sz w:val="24"/>
          <w:szCs w:val="24"/>
          <w:lang w:val="en-GB"/>
        </w:rPr>
        <w:t xml:space="preserve"> was completed </w:t>
      </w:r>
      <w:r w:rsidR="001B4F40">
        <w:rPr>
          <w:rFonts w:cstheme="minorHAnsi"/>
          <w:sz w:val="24"/>
          <w:szCs w:val="24"/>
          <w:lang w:val="en-GB"/>
        </w:rPr>
        <w:t>at the last minute and we found that during the PP, there were some topics which required additional discussion</w:t>
      </w:r>
      <w:r w:rsidR="00DC6E13">
        <w:rPr>
          <w:rFonts w:cstheme="minorHAnsi"/>
          <w:sz w:val="24"/>
          <w:szCs w:val="24"/>
          <w:lang w:val="en-GB"/>
        </w:rPr>
        <w:t>, and in some cases there were no topic coordinators identified</w:t>
      </w:r>
      <w:r w:rsidR="001B4F40">
        <w:rPr>
          <w:rFonts w:cstheme="minorHAnsi"/>
          <w:sz w:val="24"/>
          <w:szCs w:val="24"/>
          <w:lang w:val="en-GB"/>
        </w:rPr>
        <w:t xml:space="preserve">. </w:t>
      </w:r>
      <w:r>
        <w:rPr>
          <w:rFonts w:cstheme="minorHAnsi"/>
          <w:sz w:val="24"/>
          <w:szCs w:val="24"/>
          <w:lang w:val="en-GB"/>
        </w:rPr>
        <w:t xml:space="preserve">Although this is partly attributable </w:t>
      </w:r>
      <w:r w:rsidR="007A5A42">
        <w:rPr>
          <w:rFonts w:cstheme="minorHAnsi"/>
          <w:sz w:val="24"/>
          <w:szCs w:val="24"/>
          <w:lang w:val="en-GB"/>
        </w:rPr>
        <w:t xml:space="preserve">to late </w:t>
      </w:r>
      <w:r w:rsidR="00EC4B23">
        <w:rPr>
          <w:rFonts w:cstheme="minorHAnsi"/>
          <w:sz w:val="24"/>
          <w:szCs w:val="24"/>
          <w:lang w:val="en-GB"/>
        </w:rPr>
        <w:t>contributions from other regions, it would be good to consider what we can do to ensure that the Brief is better prepared for future conferences</w:t>
      </w:r>
      <w:r w:rsidR="00465AF0">
        <w:rPr>
          <w:rFonts w:cstheme="minorHAnsi"/>
          <w:sz w:val="24"/>
          <w:szCs w:val="24"/>
          <w:lang w:val="en-GB"/>
        </w:rPr>
        <w:t>.</w:t>
      </w:r>
      <w:r w:rsidR="00DC6E13">
        <w:rPr>
          <w:rFonts w:cstheme="minorHAnsi"/>
          <w:sz w:val="24"/>
          <w:szCs w:val="24"/>
          <w:lang w:val="en-GB"/>
        </w:rPr>
        <w:t xml:space="preserve"> </w:t>
      </w:r>
      <w:r w:rsidR="00465AF0">
        <w:rPr>
          <w:rFonts w:cstheme="minorHAnsi"/>
          <w:sz w:val="24"/>
          <w:szCs w:val="24"/>
          <w:lang w:val="en-GB"/>
        </w:rPr>
        <w:t xml:space="preserve">In particular, if </w:t>
      </w:r>
      <w:r w:rsidR="00DC6E13" w:rsidRPr="00D43C2A">
        <w:rPr>
          <w:rFonts w:cstheme="minorHAnsi"/>
          <w:b/>
          <w:bCs/>
          <w:sz w:val="24"/>
          <w:szCs w:val="24"/>
          <w:lang w:val="en-GB"/>
        </w:rPr>
        <w:t xml:space="preserve">topic coordinators </w:t>
      </w:r>
      <w:r w:rsidR="00116756">
        <w:rPr>
          <w:rFonts w:cstheme="minorHAnsi"/>
          <w:b/>
          <w:bCs/>
          <w:sz w:val="24"/>
          <w:szCs w:val="24"/>
          <w:lang w:val="en-GB"/>
        </w:rPr>
        <w:t xml:space="preserve">can be </w:t>
      </w:r>
      <w:r w:rsidR="00DC6E13" w:rsidRPr="00D43C2A">
        <w:rPr>
          <w:rFonts w:cstheme="minorHAnsi"/>
          <w:b/>
          <w:bCs/>
          <w:sz w:val="24"/>
          <w:szCs w:val="24"/>
          <w:lang w:val="en-GB"/>
        </w:rPr>
        <w:t>identified at an earlier stage</w:t>
      </w:r>
      <w:r w:rsidR="00142989">
        <w:rPr>
          <w:rFonts w:cstheme="minorHAnsi"/>
          <w:sz w:val="24"/>
          <w:szCs w:val="24"/>
          <w:lang w:val="en-GB"/>
        </w:rPr>
        <w:t xml:space="preserve">, for all topics that </w:t>
      </w:r>
      <w:r w:rsidR="00465AF0">
        <w:rPr>
          <w:rFonts w:cstheme="minorHAnsi"/>
          <w:sz w:val="24"/>
          <w:szCs w:val="24"/>
          <w:lang w:val="en-GB"/>
        </w:rPr>
        <w:t xml:space="preserve">could </w:t>
      </w:r>
      <w:r w:rsidR="00142989">
        <w:rPr>
          <w:rFonts w:cstheme="minorHAnsi"/>
          <w:sz w:val="24"/>
          <w:szCs w:val="24"/>
          <w:lang w:val="en-GB"/>
        </w:rPr>
        <w:t>be discussed at PP</w:t>
      </w:r>
      <w:r w:rsidR="00465AF0">
        <w:rPr>
          <w:rFonts w:cstheme="minorHAnsi"/>
          <w:sz w:val="24"/>
          <w:szCs w:val="24"/>
          <w:lang w:val="en-GB"/>
        </w:rPr>
        <w:t xml:space="preserve">, then we can </w:t>
      </w:r>
      <w:r w:rsidR="00D43C2A">
        <w:rPr>
          <w:rFonts w:cstheme="minorHAnsi"/>
          <w:sz w:val="24"/>
          <w:szCs w:val="24"/>
          <w:lang w:val="en-GB"/>
        </w:rPr>
        <w:t xml:space="preserve">ensure </w:t>
      </w:r>
      <w:r w:rsidR="00116756">
        <w:rPr>
          <w:rFonts w:cstheme="minorHAnsi"/>
          <w:sz w:val="24"/>
          <w:szCs w:val="24"/>
          <w:lang w:val="en-GB"/>
        </w:rPr>
        <w:t xml:space="preserve">that CEPT does not have gaps in its coverage of issues, and we can </w:t>
      </w:r>
      <w:r w:rsidR="00465AF0">
        <w:rPr>
          <w:rFonts w:cstheme="minorHAnsi"/>
          <w:sz w:val="24"/>
          <w:szCs w:val="24"/>
          <w:lang w:val="en-GB"/>
        </w:rPr>
        <w:t xml:space="preserve">be more proactive about monitoring other regions’ </w:t>
      </w:r>
      <w:r w:rsidR="00D43C2A">
        <w:rPr>
          <w:rFonts w:cstheme="minorHAnsi"/>
          <w:sz w:val="24"/>
          <w:szCs w:val="24"/>
          <w:lang w:val="en-GB"/>
        </w:rPr>
        <w:t xml:space="preserve">preparations </w:t>
      </w:r>
      <w:r w:rsidR="00465AF0">
        <w:rPr>
          <w:rFonts w:cstheme="minorHAnsi"/>
          <w:sz w:val="24"/>
          <w:szCs w:val="24"/>
          <w:lang w:val="en-GB"/>
        </w:rPr>
        <w:t xml:space="preserve">as </w:t>
      </w:r>
      <w:r w:rsidR="00D43C2A">
        <w:rPr>
          <w:rFonts w:cstheme="minorHAnsi"/>
          <w:sz w:val="24"/>
          <w:szCs w:val="24"/>
          <w:lang w:val="en-GB"/>
        </w:rPr>
        <w:t xml:space="preserve">they </w:t>
      </w:r>
      <w:r w:rsidR="00465AF0">
        <w:rPr>
          <w:rFonts w:cstheme="minorHAnsi"/>
          <w:sz w:val="24"/>
          <w:szCs w:val="24"/>
          <w:lang w:val="en-GB"/>
        </w:rPr>
        <w:t>evolve.</w:t>
      </w:r>
      <w:r w:rsidR="00EC4B23">
        <w:rPr>
          <w:rFonts w:cstheme="minorHAnsi"/>
          <w:sz w:val="24"/>
          <w:szCs w:val="24"/>
          <w:lang w:val="en-GB"/>
        </w:rPr>
        <w:t xml:space="preserve"> </w:t>
      </w:r>
    </w:p>
    <w:p w14:paraId="6915C672" w14:textId="79FE0C21" w:rsidR="004312DE" w:rsidRDefault="003F34A4" w:rsidP="00925E20">
      <w:pPr>
        <w:spacing w:line="276" w:lineRule="auto"/>
        <w:jc w:val="both"/>
        <w:rPr>
          <w:rFonts w:cstheme="minorHAnsi"/>
          <w:sz w:val="24"/>
          <w:szCs w:val="24"/>
          <w:lang w:val="en-GB"/>
        </w:rPr>
      </w:pPr>
      <w:r>
        <w:rPr>
          <w:rFonts w:cstheme="minorHAnsi"/>
          <w:sz w:val="24"/>
          <w:szCs w:val="24"/>
          <w:lang w:val="en-GB"/>
        </w:rPr>
        <w:t xml:space="preserve">Some </w:t>
      </w:r>
      <w:r w:rsidR="009B2E21">
        <w:rPr>
          <w:rFonts w:cstheme="minorHAnsi"/>
          <w:sz w:val="24"/>
          <w:szCs w:val="24"/>
          <w:lang w:val="en-GB"/>
        </w:rPr>
        <w:t xml:space="preserve">CEPT members played </w:t>
      </w:r>
      <w:r>
        <w:rPr>
          <w:rFonts w:cstheme="minorHAnsi"/>
          <w:sz w:val="24"/>
          <w:szCs w:val="24"/>
          <w:lang w:val="en-GB"/>
        </w:rPr>
        <w:t xml:space="preserve">coordination </w:t>
      </w:r>
      <w:r w:rsidR="009B2E21">
        <w:rPr>
          <w:rFonts w:cstheme="minorHAnsi"/>
          <w:sz w:val="24"/>
          <w:szCs w:val="24"/>
          <w:lang w:val="en-GB"/>
        </w:rPr>
        <w:t xml:space="preserve">roles at this PP </w:t>
      </w:r>
      <w:r w:rsidR="00DF2970">
        <w:rPr>
          <w:rFonts w:cstheme="minorHAnsi"/>
          <w:sz w:val="24"/>
          <w:szCs w:val="24"/>
          <w:lang w:val="en-GB"/>
        </w:rPr>
        <w:t xml:space="preserve">for the </w:t>
      </w:r>
      <w:r w:rsidR="00DF2970" w:rsidRPr="00116756">
        <w:rPr>
          <w:rFonts w:cstheme="minorHAnsi"/>
          <w:b/>
          <w:bCs/>
          <w:sz w:val="24"/>
          <w:szCs w:val="24"/>
          <w:lang w:val="en-GB"/>
        </w:rPr>
        <w:t>first time</w:t>
      </w:r>
      <w:r w:rsidR="00DF2970">
        <w:rPr>
          <w:rFonts w:cstheme="minorHAnsi"/>
          <w:sz w:val="24"/>
          <w:szCs w:val="24"/>
          <w:lang w:val="en-GB"/>
        </w:rPr>
        <w:t xml:space="preserve">. This was very welcome, and is necessary for our succession planning. We </w:t>
      </w:r>
      <w:r w:rsidR="006B0C6F">
        <w:rPr>
          <w:rFonts w:cstheme="minorHAnsi"/>
          <w:sz w:val="24"/>
          <w:szCs w:val="24"/>
          <w:lang w:val="en-GB"/>
        </w:rPr>
        <w:t>could consider how we can continue to encourage more members to play active leadership roles, and how we can better support those who do</w:t>
      </w:r>
      <w:r w:rsidR="00AD2EED">
        <w:rPr>
          <w:rFonts w:cstheme="minorHAnsi"/>
          <w:sz w:val="24"/>
          <w:szCs w:val="24"/>
          <w:lang w:val="en-GB"/>
        </w:rPr>
        <w:t xml:space="preserve">, </w:t>
      </w:r>
      <w:r w:rsidR="00AD2EED">
        <w:rPr>
          <w:rFonts w:cstheme="minorHAnsi"/>
          <w:sz w:val="24"/>
          <w:szCs w:val="24"/>
          <w:lang w:val="en-GB"/>
        </w:rPr>
        <w:lastRenderedPageBreak/>
        <w:t xml:space="preserve">including with </w:t>
      </w:r>
      <w:r w:rsidR="008F6BE6">
        <w:rPr>
          <w:rFonts w:cstheme="minorHAnsi"/>
          <w:sz w:val="24"/>
          <w:szCs w:val="24"/>
          <w:lang w:val="en-GB"/>
        </w:rPr>
        <w:t xml:space="preserve">specific guidance on the roles of coordinator and supporter (and how to deal with issues such </w:t>
      </w:r>
      <w:r w:rsidR="002F3B07">
        <w:rPr>
          <w:rFonts w:cstheme="minorHAnsi"/>
          <w:sz w:val="24"/>
          <w:szCs w:val="24"/>
          <w:lang w:val="en-GB"/>
        </w:rPr>
        <w:t>as conflicts when leading on multiple issues, or playing multiple roles)</w:t>
      </w:r>
      <w:r w:rsidR="006B0C6F">
        <w:rPr>
          <w:rFonts w:cstheme="minorHAnsi"/>
          <w:sz w:val="24"/>
          <w:szCs w:val="24"/>
          <w:lang w:val="en-GB"/>
        </w:rPr>
        <w:t>.</w:t>
      </w:r>
    </w:p>
    <w:p w14:paraId="64D9C73E" w14:textId="1126A32B" w:rsidR="006B0C6F" w:rsidRDefault="004F0489" w:rsidP="00925E20">
      <w:pPr>
        <w:spacing w:line="276" w:lineRule="auto"/>
        <w:jc w:val="both"/>
        <w:rPr>
          <w:rFonts w:cstheme="minorHAnsi"/>
          <w:sz w:val="24"/>
          <w:szCs w:val="24"/>
          <w:lang w:val="en-GB"/>
        </w:rPr>
      </w:pPr>
      <w:r>
        <w:rPr>
          <w:rFonts w:cstheme="minorHAnsi"/>
          <w:sz w:val="24"/>
          <w:szCs w:val="24"/>
          <w:lang w:val="en-GB"/>
        </w:rPr>
        <w:t>Our PT structure had a sound logic, but it did not mirror the three major committees of the conference</w:t>
      </w:r>
      <w:r w:rsidR="00C92EBA">
        <w:rPr>
          <w:rFonts w:cstheme="minorHAnsi"/>
          <w:sz w:val="24"/>
          <w:szCs w:val="24"/>
          <w:lang w:val="en-GB"/>
        </w:rPr>
        <w:t xml:space="preserve"> (Com5, Com6 and WGPL)</w:t>
      </w:r>
      <w:r w:rsidR="004D76CF">
        <w:rPr>
          <w:rFonts w:cstheme="minorHAnsi"/>
          <w:sz w:val="24"/>
          <w:szCs w:val="24"/>
          <w:lang w:val="en-GB"/>
        </w:rPr>
        <w:t xml:space="preserve">, with the consequence that some members were dividing their time between these committees and </w:t>
      </w:r>
      <w:r w:rsidR="00B4207B">
        <w:rPr>
          <w:rFonts w:cstheme="minorHAnsi"/>
          <w:sz w:val="24"/>
          <w:szCs w:val="24"/>
          <w:lang w:val="en-GB"/>
        </w:rPr>
        <w:t>facing challenges doing so.</w:t>
      </w:r>
      <w:r w:rsidR="00C92EBA">
        <w:rPr>
          <w:rFonts w:cstheme="minorHAnsi"/>
          <w:sz w:val="24"/>
          <w:szCs w:val="24"/>
          <w:lang w:val="en-GB"/>
        </w:rPr>
        <w:t xml:space="preserve"> There could be merit in </w:t>
      </w:r>
      <w:r w:rsidR="004D76CF">
        <w:rPr>
          <w:rFonts w:cstheme="minorHAnsi"/>
          <w:sz w:val="24"/>
          <w:szCs w:val="24"/>
          <w:lang w:val="en-GB"/>
        </w:rPr>
        <w:t xml:space="preserve">trying to </w:t>
      </w:r>
      <w:r w:rsidR="004D76CF" w:rsidRPr="00B9621E">
        <w:rPr>
          <w:rFonts w:cstheme="minorHAnsi"/>
          <w:b/>
          <w:bCs/>
          <w:sz w:val="24"/>
          <w:szCs w:val="24"/>
          <w:lang w:val="en-GB"/>
        </w:rPr>
        <w:t>anticipate the conference structure</w:t>
      </w:r>
      <w:r w:rsidR="004D76CF">
        <w:rPr>
          <w:rFonts w:cstheme="minorHAnsi"/>
          <w:sz w:val="24"/>
          <w:szCs w:val="24"/>
          <w:lang w:val="en-GB"/>
        </w:rPr>
        <w:t xml:space="preserve"> in our own processes, to enable </w:t>
      </w:r>
      <w:r w:rsidR="002C77B8">
        <w:rPr>
          <w:rFonts w:cstheme="minorHAnsi"/>
          <w:sz w:val="24"/>
          <w:szCs w:val="24"/>
          <w:lang w:val="en-GB"/>
        </w:rPr>
        <w:t>a better fit of our roles to the conference structure.</w:t>
      </w:r>
    </w:p>
    <w:p w14:paraId="3B33E6EC" w14:textId="542BF0F5" w:rsidR="00132B05" w:rsidRPr="00132B05" w:rsidRDefault="00132B05" w:rsidP="00925E20">
      <w:pPr>
        <w:spacing w:line="276" w:lineRule="auto"/>
        <w:jc w:val="both"/>
        <w:rPr>
          <w:rFonts w:cstheme="minorHAnsi"/>
          <w:sz w:val="24"/>
          <w:szCs w:val="24"/>
          <w:u w:val="single"/>
          <w:lang w:val="en-GB"/>
        </w:rPr>
      </w:pPr>
      <w:r w:rsidRPr="00132B05">
        <w:rPr>
          <w:rFonts w:cstheme="minorHAnsi"/>
          <w:sz w:val="24"/>
          <w:szCs w:val="24"/>
          <w:u w:val="single"/>
          <w:lang w:val="en-GB"/>
        </w:rPr>
        <w:t>During the PP</w:t>
      </w:r>
    </w:p>
    <w:p w14:paraId="30D037E8" w14:textId="62091A6E" w:rsidR="0048250B" w:rsidRDefault="00DE44A8" w:rsidP="00925E20">
      <w:pPr>
        <w:spacing w:line="276" w:lineRule="auto"/>
        <w:jc w:val="both"/>
        <w:rPr>
          <w:rFonts w:cstheme="minorHAnsi"/>
          <w:sz w:val="24"/>
          <w:szCs w:val="24"/>
          <w:lang w:val="en-GB"/>
        </w:rPr>
      </w:pPr>
      <w:r>
        <w:rPr>
          <w:rFonts w:cstheme="minorHAnsi"/>
          <w:sz w:val="24"/>
          <w:szCs w:val="24"/>
          <w:lang w:val="en-GB"/>
        </w:rPr>
        <w:t xml:space="preserve">Outcomes on the ECPs are captured in </w:t>
      </w:r>
      <w:r w:rsidRPr="00CE261A">
        <w:rPr>
          <w:rFonts w:cstheme="minorHAnsi"/>
          <w:b/>
          <w:bCs/>
          <w:sz w:val="24"/>
          <w:szCs w:val="24"/>
          <w:lang w:val="en-GB"/>
        </w:rPr>
        <w:t>Annex 1</w:t>
      </w:r>
      <w:r>
        <w:rPr>
          <w:rFonts w:cstheme="minorHAnsi"/>
          <w:sz w:val="24"/>
          <w:szCs w:val="24"/>
          <w:lang w:val="en-GB"/>
        </w:rPr>
        <w:t>.</w:t>
      </w:r>
      <w:r w:rsidR="00377ED2">
        <w:rPr>
          <w:rFonts w:cstheme="minorHAnsi"/>
          <w:sz w:val="24"/>
          <w:szCs w:val="24"/>
          <w:lang w:val="en-GB"/>
        </w:rPr>
        <w:t xml:space="preserve"> </w:t>
      </w:r>
      <w:r w:rsidR="0048250B">
        <w:rPr>
          <w:rFonts w:cstheme="minorHAnsi"/>
          <w:sz w:val="24"/>
          <w:szCs w:val="24"/>
          <w:lang w:val="en-GB"/>
        </w:rPr>
        <w:t xml:space="preserve">Overall the Policy outcomes were very good for CEPT. Nearly all of our </w:t>
      </w:r>
      <w:r w:rsidR="00FC5E89">
        <w:rPr>
          <w:rFonts w:cstheme="minorHAnsi"/>
          <w:sz w:val="24"/>
          <w:szCs w:val="24"/>
          <w:lang w:val="en-GB"/>
        </w:rPr>
        <w:t>ECPs resulted in modified or new resolutions which reflected many elements of our proposals</w:t>
      </w:r>
      <w:r w:rsidR="008A75BF">
        <w:rPr>
          <w:rFonts w:cstheme="minorHAnsi"/>
          <w:sz w:val="24"/>
          <w:szCs w:val="24"/>
          <w:lang w:val="en-GB"/>
        </w:rPr>
        <w:t xml:space="preserve">, and we successfully defended red lines on key issues including cyber and internet governance. </w:t>
      </w:r>
      <w:r w:rsidR="001B190E">
        <w:rPr>
          <w:rFonts w:cstheme="minorHAnsi"/>
          <w:sz w:val="24"/>
          <w:szCs w:val="24"/>
          <w:lang w:val="en-GB"/>
        </w:rPr>
        <w:t>There were some disappointments, notably the failure to agree a new resolution in industry participation</w:t>
      </w:r>
      <w:r w:rsidR="00F24D48">
        <w:rPr>
          <w:rFonts w:cstheme="minorHAnsi"/>
          <w:sz w:val="24"/>
          <w:szCs w:val="24"/>
          <w:lang w:val="en-GB"/>
        </w:rPr>
        <w:t xml:space="preserve">. </w:t>
      </w:r>
    </w:p>
    <w:p w14:paraId="17D27308" w14:textId="539FB42E" w:rsidR="00DE44A8" w:rsidRDefault="00377ED2" w:rsidP="00925E20">
      <w:pPr>
        <w:spacing w:line="276" w:lineRule="auto"/>
        <w:jc w:val="both"/>
        <w:rPr>
          <w:rFonts w:cstheme="minorHAnsi"/>
          <w:sz w:val="24"/>
          <w:szCs w:val="24"/>
          <w:lang w:val="en-GB"/>
        </w:rPr>
      </w:pPr>
      <w:r>
        <w:rPr>
          <w:rFonts w:cstheme="minorHAnsi"/>
          <w:sz w:val="24"/>
          <w:szCs w:val="24"/>
          <w:lang w:val="en-GB"/>
        </w:rPr>
        <w:t xml:space="preserve">It is proposed to </w:t>
      </w:r>
      <w:r w:rsidR="00BF784D" w:rsidRPr="009A1282">
        <w:rPr>
          <w:rFonts w:cstheme="minorHAnsi"/>
          <w:b/>
          <w:bCs/>
          <w:sz w:val="24"/>
          <w:szCs w:val="24"/>
          <w:lang w:val="en-GB"/>
        </w:rPr>
        <w:t xml:space="preserve">reopen </w:t>
      </w:r>
      <w:r w:rsidRPr="009A1282">
        <w:rPr>
          <w:rFonts w:cstheme="minorHAnsi"/>
          <w:b/>
          <w:bCs/>
          <w:sz w:val="24"/>
          <w:szCs w:val="24"/>
          <w:lang w:val="en-GB"/>
        </w:rPr>
        <w:t>the CEPT brief</w:t>
      </w:r>
      <w:r>
        <w:rPr>
          <w:rFonts w:cstheme="minorHAnsi"/>
          <w:sz w:val="24"/>
          <w:szCs w:val="24"/>
          <w:lang w:val="en-GB"/>
        </w:rPr>
        <w:t xml:space="preserve"> </w:t>
      </w:r>
      <w:r w:rsidR="00BF784D">
        <w:rPr>
          <w:rFonts w:cstheme="minorHAnsi"/>
          <w:sz w:val="24"/>
          <w:szCs w:val="24"/>
          <w:lang w:val="en-GB"/>
        </w:rPr>
        <w:t xml:space="preserve">as a shared document for topic coordinators to record </w:t>
      </w:r>
      <w:r w:rsidR="009A1282">
        <w:rPr>
          <w:rFonts w:cstheme="minorHAnsi"/>
          <w:sz w:val="24"/>
          <w:szCs w:val="24"/>
          <w:lang w:val="en-GB"/>
        </w:rPr>
        <w:t>outcomes and lessons</w:t>
      </w:r>
      <w:r w:rsidR="00A330F6">
        <w:rPr>
          <w:rFonts w:cstheme="minorHAnsi"/>
          <w:sz w:val="24"/>
          <w:szCs w:val="24"/>
          <w:lang w:val="en-GB"/>
        </w:rPr>
        <w:t>-</w:t>
      </w:r>
      <w:r w:rsidR="009A1282">
        <w:rPr>
          <w:rFonts w:cstheme="minorHAnsi"/>
          <w:sz w:val="24"/>
          <w:szCs w:val="24"/>
          <w:lang w:val="en-GB"/>
        </w:rPr>
        <w:t>learned on particular topic areas, to aid our preparation for future meetings</w:t>
      </w:r>
      <w:r w:rsidR="00A330F6">
        <w:rPr>
          <w:rFonts w:cstheme="minorHAnsi"/>
          <w:sz w:val="24"/>
          <w:szCs w:val="24"/>
          <w:lang w:val="en-GB"/>
        </w:rPr>
        <w:t xml:space="preserve">, as well as </w:t>
      </w:r>
      <w:r w:rsidR="00A5171C">
        <w:rPr>
          <w:rFonts w:cstheme="minorHAnsi"/>
          <w:sz w:val="24"/>
          <w:szCs w:val="24"/>
          <w:lang w:val="en-GB"/>
        </w:rPr>
        <w:t>any proposals for procedural aspects</w:t>
      </w:r>
      <w:r w:rsidR="009A1282">
        <w:rPr>
          <w:rFonts w:cstheme="minorHAnsi"/>
          <w:sz w:val="24"/>
          <w:szCs w:val="24"/>
          <w:lang w:val="en-GB"/>
        </w:rPr>
        <w:t xml:space="preserve">. </w:t>
      </w:r>
    </w:p>
    <w:p w14:paraId="6B6F9B24" w14:textId="493881A5" w:rsidR="00132B05" w:rsidRDefault="004F0C07" w:rsidP="00925E20">
      <w:pPr>
        <w:spacing w:line="276" w:lineRule="auto"/>
        <w:jc w:val="both"/>
        <w:rPr>
          <w:rFonts w:cstheme="minorHAnsi"/>
          <w:sz w:val="24"/>
          <w:szCs w:val="24"/>
          <w:lang w:val="en-GB"/>
        </w:rPr>
      </w:pPr>
      <w:r>
        <w:rPr>
          <w:rFonts w:cstheme="minorHAnsi"/>
          <w:sz w:val="24"/>
          <w:szCs w:val="24"/>
          <w:lang w:val="en-GB"/>
        </w:rPr>
        <w:t xml:space="preserve">In contrast to previous PPs, the </w:t>
      </w:r>
      <w:r w:rsidRPr="00A91C58">
        <w:rPr>
          <w:rFonts w:cstheme="minorHAnsi"/>
          <w:b/>
          <w:bCs/>
          <w:sz w:val="24"/>
          <w:szCs w:val="24"/>
          <w:lang w:val="en-GB"/>
        </w:rPr>
        <w:t xml:space="preserve">working patterns were </w:t>
      </w:r>
      <w:r w:rsidR="00A32731">
        <w:rPr>
          <w:rFonts w:cstheme="minorHAnsi"/>
          <w:b/>
          <w:bCs/>
          <w:sz w:val="24"/>
          <w:szCs w:val="24"/>
          <w:lang w:val="en-GB"/>
        </w:rPr>
        <w:t xml:space="preserve">much </w:t>
      </w:r>
      <w:r w:rsidRPr="00A91C58">
        <w:rPr>
          <w:rFonts w:cstheme="minorHAnsi"/>
          <w:b/>
          <w:bCs/>
          <w:sz w:val="24"/>
          <w:szCs w:val="24"/>
          <w:lang w:val="en-GB"/>
        </w:rPr>
        <w:t>better managed</w:t>
      </w:r>
      <w:r>
        <w:rPr>
          <w:rFonts w:cstheme="minorHAnsi"/>
          <w:sz w:val="24"/>
          <w:szCs w:val="24"/>
          <w:lang w:val="en-GB"/>
        </w:rPr>
        <w:t xml:space="preserve">, with </w:t>
      </w:r>
      <w:r w:rsidR="00AD4A7C">
        <w:rPr>
          <w:rFonts w:cstheme="minorHAnsi"/>
          <w:sz w:val="24"/>
          <w:szCs w:val="24"/>
          <w:lang w:val="en-GB"/>
        </w:rPr>
        <w:t xml:space="preserve">no meetings scheduled on Sundays, or after 2100. </w:t>
      </w:r>
      <w:r w:rsidRPr="004F0C07">
        <w:rPr>
          <w:rFonts w:cstheme="minorHAnsi"/>
          <w:sz w:val="24"/>
          <w:szCs w:val="24"/>
          <w:lang w:val="en-GB"/>
        </w:rPr>
        <w:t xml:space="preserve">Still, the conference managed to finalize the work and the negotiations on time. </w:t>
      </w:r>
      <w:r w:rsidR="00A91C58">
        <w:rPr>
          <w:rFonts w:cstheme="minorHAnsi"/>
          <w:sz w:val="24"/>
          <w:szCs w:val="24"/>
          <w:lang w:val="en-GB"/>
        </w:rPr>
        <w:t xml:space="preserve">These principles </w:t>
      </w:r>
      <w:r w:rsidRPr="004F0C07">
        <w:rPr>
          <w:rFonts w:cstheme="minorHAnsi"/>
          <w:sz w:val="24"/>
          <w:szCs w:val="24"/>
          <w:lang w:val="en-GB"/>
        </w:rPr>
        <w:t xml:space="preserve">should be considered as the </w:t>
      </w:r>
      <w:r w:rsidR="00A91C58">
        <w:rPr>
          <w:rFonts w:cstheme="minorHAnsi"/>
          <w:sz w:val="24"/>
          <w:szCs w:val="24"/>
          <w:lang w:val="en-GB"/>
        </w:rPr>
        <w:t xml:space="preserve">standard practice </w:t>
      </w:r>
      <w:r w:rsidRPr="004F0C07">
        <w:rPr>
          <w:rFonts w:cstheme="minorHAnsi"/>
          <w:sz w:val="24"/>
          <w:szCs w:val="24"/>
          <w:lang w:val="en-GB"/>
        </w:rPr>
        <w:t>for future conferences of the ITU.</w:t>
      </w:r>
    </w:p>
    <w:p w14:paraId="5B7D091E" w14:textId="77777777" w:rsidR="005C220B" w:rsidRDefault="00573427" w:rsidP="00925E20">
      <w:pPr>
        <w:spacing w:line="276" w:lineRule="auto"/>
        <w:jc w:val="both"/>
        <w:rPr>
          <w:rFonts w:cstheme="minorHAnsi"/>
          <w:sz w:val="24"/>
          <w:szCs w:val="24"/>
          <w:lang w:val="en-GB"/>
        </w:rPr>
      </w:pPr>
      <w:r>
        <w:rPr>
          <w:rFonts w:cstheme="minorHAnsi"/>
          <w:sz w:val="24"/>
          <w:szCs w:val="24"/>
          <w:lang w:val="en-GB"/>
        </w:rPr>
        <w:t xml:space="preserve">Related to this, the </w:t>
      </w:r>
      <w:r w:rsidR="00132B05" w:rsidRPr="00132B05">
        <w:rPr>
          <w:rFonts w:cstheme="minorHAnsi"/>
          <w:sz w:val="24"/>
          <w:szCs w:val="24"/>
          <w:lang w:val="en-GB"/>
        </w:rPr>
        <w:t xml:space="preserve">work in the committees and ad-hoc groups kicked off </w:t>
      </w:r>
      <w:r w:rsidRPr="005C220B">
        <w:rPr>
          <w:rFonts w:cstheme="minorHAnsi"/>
          <w:b/>
          <w:bCs/>
          <w:sz w:val="24"/>
          <w:szCs w:val="24"/>
          <w:lang w:val="en-GB"/>
        </w:rPr>
        <w:t xml:space="preserve">early in </w:t>
      </w:r>
      <w:r w:rsidR="00132B05" w:rsidRPr="005C220B">
        <w:rPr>
          <w:rFonts w:cstheme="minorHAnsi"/>
          <w:b/>
          <w:bCs/>
          <w:sz w:val="24"/>
          <w:szCs w:val="24"/>
          <w:lang w:val="en-GB"/>
        </w:rPr>
        <w:t>the conference</w:t>
      </w:r>
      <w:r w:rsidR="00132B05" w:rsidRPr="00132B05">
        <w:rPr>
          <w:rFonts w:cstheme="minorHAnsi"/>
          <w:sz w:val="24"/>
          <w:szCs w:val="24"/>
          <w:lang w:val="en-GB"/>
        </w:rPr>
        <w:t xml:space="preserve">, </w:t>
      </w:r>
      <w:r>
        <w:rPr>
          <w:rFonts w:cstheme="minorHAnsi"/>
          <w:sz w:val="24"/>
          <w:szCs w:val="24"/>
          <w:lang w:val="en-GB"/>
        </w:rPr>
        <w:t xml:space="preserve">in parallel with elections. This had not been anticipated by many </w:t>
      </w:r>
      <w:r w:rsidR="00132B05" w:rsidRPr="00132B05">
        <w:rPr>
          <w:rFonts w:cstheme="minorHAnsi"/>
          <w:sz w:val="24"/>
          <w:szCs w:val="24"/>
          <w:lang w:val="en-GB"/>
        </w:rPr>
        <w:t>delegations</w:t>
      </w:r>
      <w:r>
        <w:rPr>
          <w:rFonts w:cstheme="minorHAnsi"/>
          <w:sz w:val="24"/>
          <w:szCs w:val="24"/>
          <w:lang w:val="en-GB"/>
        </w:rPr>
        <w:t xml:space="preserve"> and resulted in challenges</w:t>
      </w:r>
      <w:r w:rsidR="00132B05" w:rsidRPr="00132B05">
        <w:rPr>
          <w:rFonts w:cstheme="minorHAnsi"/>
          <w:sz w:val="24"/>
          <w:szCs w:val="24"/>
          <w:lang w:val="en-GB"/>
        </w:rPr>
        <w:t xml:space="preserve">. </w:t>
      </w:r>
      <w:r>
        <w:rPr>
          <w:rFonts w:cstheme="minorHAnsi"/>
          <w:sz w:val="24"/>
          <w:szCs w:val="24"/>
          <w:lang w:val="en-GB"/>
        </w:rPr>
        <w:t xml:space="preserve">However, </w:t>
      </w:r>
      <w:r w:rsidR="00F34067">
        <w:rPr>
          <w:rFonts w:cstheme="minorHAnsi"/>
          <w:sz w:val="24"/>
          <w:szCs w:val="24"/>
          <w:lang w:val="en-GB"/>
        </w:rPr>
        <w:t xml:space="preserve">if in future we ensure that coordinators and others are present in the first week of PP, </w:t>
      </w:r>
      <w:r w:rsidR="005C220B">
        <w:rPr>
          <w:rFonts w:cstheme="minorHAnsi"/>
          <w:sz w:val="24"/>
          <w:szCs w:val="24"/>
          <w:lang w:val="en-GB"/>
        </w:rPr>
        <w:t xml:space="preserve">this can be avoided. </w:t>
      </w:r>
    </w:p>
    <w:p w14:paraId="21CED417" w14:textId="0EF47770" w:rsidR="00AE2B24" w:rsidRDefault="0030704F" w:rsidP="00925E20">
      <w:pPr>
        <w:spacing w:line="276" w:lineRule="auto"/>
        <w:jc w:val="both"/>
        <w:rPr>
          <w:rFonts w:cstheme="minorHAnsi"/>
          <w:sz w:val="24"/>
          <w:szCs w:val="24"/>
          <w:lang w:val="en-GB" w:eastAsia="sv-SE"/>
        </w:rPr>
      </w:pPr>
      <w:r>
        <w:rPr>
          <w:rFonts w:cstheme="minorHAnsi"/>
          <w:sz w:val="24"/>
          <w:szCs w:val="24"/>
          <w:lang w:val="en-GB"/>
        </w:rPr>
        <w:t xml:space="preserve">The coordination during the PP worked well, both in meetings that took place nearly every day, and </w:t>
      </w:r>
      <w:r w:rsidR="00EB4ECC">
        <w:rPr>
          <w:rFonts w:cstheme="minorHAnsi"/>
          <w:sz w:val="24"/>
          <w:szCs w:val="24"/>
          <w:lang w:val="en-GB"/>
        </w:rPr>
        <w:t>through the WhatsApp group</w:t>
      </w:r>
      <w:r w:rsidR="009051FC">
        <w:rPr>
          <w:rFonts w:cstheme="minorHAnsi"/>
          <w:sz w:val="24"/>
          <w:szCs w:val="24"/>
          <w:lang w:val="en-GB"/>
        </w:rPr>
        <w:t xml:space="preserve">, </w:t>
      </w:r>
      <w:r w:rsidR="009051FC">
        <w:rPr>
          <w:rFonts w:cstheme="minorHAnsi"/>
          <w:sz w:val="24"/>
          <w:szCs w:val="24"/>
          <w:lang w:val="en-GB" w:eastAsia="sv-SE"/>
        </w:rPr>
        <w:t xml:space="preserve">building on effective coordination practices developed at WTSA and WTDC earlier in the year. </w:t>
      </w:r>
      <w:r w:rsidR="00447298">
        <w:rPr>
          <w:rFonts w:cstheme="minorHAnsi"/>
          <w:sz w:val="24"/>
          <w:szCs w:val="24"/>
          <w:lang w:val="en-GB" w:eastAsia="sv-SE"/>
        </w:rPr>
        <w:t>WhatsApp seems to be a pretty invaluable tool, but i</w:t>
      </w:r>
      <w:r w:rsidR="00602446">
        <w:rPr>
          <w:rFonts w:cstheme="minorHAnsi"/>
          <w:sz w:val="24"/>
          <w:szCs w:val="24"/>
          <w:lang w:val="en-GB" w:eastAsia="sv-SE"/>
        </w:rPr>
        <w:t xml:space="preserve">t might be helpful to establish some simple </w:t>
      </w:r>
      <w:r w:rsidR="00602446" w:rsidRPr="00447298">
        <w:rPr>
          <w:rFonts w:cstheme="minorHAnsi"/>
          <w:b/>
          <w:bCs/>
          <w:sz w:val="24"/>
          <w:szCs w:val="24"/>
          <w:lang w:val="en-GB" w:eastAsia="sv-SE"/>
        </w:rPr>
        <w:t>guidelines and expectations</w:t>
      </w:r>
      <w:r w:rsidR="00602446">
        <w:rPr>
          <w:rFonts w:cstheme="minorHAnsi"/>
          <w:sz w:val="24"/>
          <w:szCs w:val="24"/>
          <w:lang w:val="en-GB" w:eastAsia="sv-SE"/>
        </w:rPr>
        <w:t xml:space="preserve"> for </w:t>
      </w:r>
      <w:r w:rsidR="00447298">
        <w:rPr>
          <w:rFonts w:cstheme="minorHAnsi"/>
          <w:sz w:val="24"/>
          <w:szCs w:val="24"/>
          <w:lang w:val="en-GB" w:eastAsia="sv-SE"/>
        </w:rPr>
        <w:t xml:space="preserve">its use at future meetings, as this practice has evolved organically but without all members necessarily </w:t>
      </w:r>
      <w:r w:rsidR="00FB7250">
        <w:rPr>
          <w:rFonts w:cstheme="minorHAnsi"/>
          <w:sz w:val="24"/>
          <w:szCs w:val="24"/>
          <w:lang w:val="en-GB" w:eastAsia="sv-SE"/>
        </w:rPr>
        <w:t xml:space="preserve">using it </w:t>
      </w:r>
      <w:r w:rsidR="008A5195">
        <w:rPr>
          <w:rFonts w:cstheme="minorHAnsi"/>
          <w:sz w:val="24"/>
          <w:szCs w:val="24"/>
          <w:lang w:val="en-GB" w:eastAsia="sv-SE"/>
        </w:rPr>
        <w:t>to equal advantage</w:t>
      </w:r>
      <w:r w:rsidR="00FB7250">
        <w:rPr>
          <w:rFonts w:cstheme="minorHAnsi"/>
          <w:sz w:val="24"/>
          <w:szCs w:val="24"/>
          <w:lang w:val="en-GB" w:eastAsia="sv-SE"/>
        </w:rPr>
        <w:t>.</w:t>
      </w:r>
    </w:p>
    <w:p w14:paraId="3D783FE8" w14:textId="1FEAABE3" w:rsidR="00DE44A8" w:rsidRDefault="00647D02" w:rsidP="00925E20">
      <w:pPr>
        <w:spacing w:line="276" w:lineRule="auto"/>
        <w:jc w:val="both"/>
        <w:rPr>
          <w:rFonts w:cstheme="minorHAnsi"/>
          <w:sz w:val="24"/>
          <w:szCs w:val="24"/>
          <w:lang w:val="en-GB" w:eastAsia="sv-SE"/>
        </w:rPr>
      </w:pPr>
      <w:r>
        <w:rPr>
          <w:rFonts w:cstheme="minorHAnsi"/>
          <w:sz w:val="24"/>
          <w:szCs w:val="24"/>
          <w:lang w:val="en-GB" w:eastAsia="sv-SE"/>
        </w:rPr>
        <w:t xml:space="preserve">CEPT chairs of ad hoc and informal groups </w:t>
      </w:r>
      <w:r w:rsidR="001A567C">
        <w:rPr>
          <w:rFonts w:cstheme="minorHAnsi"/>
          <w:sz w:val="24"/>
          <w:szCs w:val="24"/>
          <w:lang w:val="en-GB" w:eastAsia="sv-SE"/>
        </w:rPr>
        <w:t xml:space="preserve">did great work at PP, but would have appreciated </w:t>
      </w:r>
      <w:r w:rsidR="0099165C">
        <w:rPr>
          <w:rFonts w:cstheme="minorHAnsi"/>
          <w:sz w:val="24"/>
          <w:szCs w:val="24"/>
          <w:lang w:val="en-GB" w:eastAsia="sv-SE"/>
        </w:rPr>
        <w:t xml:space="preserve">some </w:t>
      </w:r>
      <w:r w:rsidR="0099165C" w:rsidRPr="005D1998">
        <w:rPr>
          <w:rFonts w:cstheme="minorHAnsi"/>
          <w:b/>
          <w:bCs/>
          <w:sz w:val="24"/>
          <w:szCs w:val="24"/>
          <w:lang w:val="en-GB" w:eastAsia="sv-SE"/>
        </w:rPr>
        <w:t>guidance on the</w:t>
      </w:r>
      <w:r w:rsidR="005D1998" w:rsidRPr="005D1998">
        <w:rPr>
          <w:rFonts w:cstheme="minorHAnsi"/>
          <w:b/>
          <w:bCs/>
          <w:sz w:val="24"/>
          <w:szCs w:val="24"/>
          <w:lang w:val="en-GB" w:eastAsia="sv-SE"/>
        </w:rPr>
        <w:t>se chairing</w:t>
      </w:r>
      <w:r w:rsidR="0099165C" w:rsidRPr="005D1998">
        <w:rPr>
          <w:rFonts w:cstheme="minorHAnsi"/>
          <w:b/>
          <w:bCs/>
          <w:sz w:val="24"/>
          <w:szCs w:val="24"/>
          <w:lang w:val="en-GB" w:eastAsia="sv-SE"/>
        </w:rPr>
        <w:t xml:space="preserve"> role</w:t>
      </w:r>
      <w:r w:rsidR="005D1998" w:rsidRPr="005D1998">
        <w:rPr>
          <w:rFonts w:cstheme="minorHAnsi"/>
          <w:b/>
          <w:bCs/>
          <w:sz w:val="24"/>
          <w:szCs w:val="24"/>
          <w:lang w:val="en-GB" w:eastAsia="sv-SE"/>
        </w:rPr>
        <w:t>s</w:t>
      </w:r>
      <w:r w:rsidR="0099165C">
        <w:rPr>
          <w:rFonts w:cstheme="minorHAnsi"/>
          <w:sz w:val="24"/>
          <w:szCs w:val="24"/>
          <w:lang w:val="en-GB" w:eastAsia="sv-SE"/>
        </w:rPr>
        <w:t xml:space="preserve">, including </w:t>
      </w:r>
      <w:r w:rsidR="001A567C" w:rsidRPr="001A567C">
        <w:rPr>
          <w:rFonts w:cstheme="minorHAnsi"/>
          <w:sz w:val="24"/>
          <w:szCs w:val="24"/>
          <w:lang w:val="en-GB" w:eastAsia="sv-SE"/>
        </w:rPr>
        <w:t xml:space="preserve">clear instructions about the duties/rights of the Chair, main procedures. </w:t>
      </w:r>
    </w:p>
    <w:p w14:paraId="6F40A480" w14:textId="05DB6B1F" w:rsidR="00C62B49" w:rsidRDefault="00C62B49">
      <w:pPr>
        <w:rPr>
          <w:rFonts w:cstheme="minorHAnsi"/>
          <w:sz w:val="24"/>
          <w:szCs w:val="24"/>
          <w:lang w:val="en-GB"/>
        </w:rPr>
      </w:pPr>
      <w:r>
        <w:rPr>
          <w:rFonts w:cstheme="minorHAnsi"/>
          <w:sz w:val="24"/>
          <w:szCs w:val="24"/>
          <w:lang w:val="en-GB"/>
        </w:rPr>
        <w:br w:type="page"/>
      </w:r>
    </w:p>
    <w:p w14:paraId="41C95D7D" w14:textId="1DF3A8A1" w:rsidR="006C6FB6" w:rsidRPr="002F49B6" w:rsidRDefault="006C6FB6" w:rsidP="00925E20">
      <w:pPr>
        <w:spacing w:after="120" w:line="276" w:lineRule="auto"/>
        <w:jc w:val="center"/>
        <w:rPr>
          <w:rFonts w:cstheme="minorHAnsi"/>
          <w:sz w:val="24"/>
          <w:szCs w:val="24"/>
          <w:lang w:val="en-GB"/>
        </w:rPr>
      </w:pPr>
      <w:r w:rsidRPr="002F49B6">
        <w:rPr>
          <w:rFonts w:cstheme="minorHAnsi"/>
          <w:sz w:val="24"/>
          <w:szCs w:val="24"/>
          <w:lang w:val="en-GB"/>
        </w:rPr>
        <w:lastRenderedPageBreak/>
        <w:t>ANNEX 1</w:t>
      </w:r>
    </w:p>
    <w:p w14:paraId="6514624B" w14:textId="7627CE8D" w:rsidR="006C6FB6" w:rsidRDefault="006C6FB6" w:rsidP="00925E20">
      <w:pPr>
        <w:spacing w:after="120" w:line="276" w:lineRule="auto"/>
        <w:jc w:val="center"/>
        <w:rPr>
          <w:rFonts w:cstheme="minorHAnsi"/>
          <w:b/>
          <w:bCs/>
          <w:sz w:val="24"/>
          <w:szCs w:val="24"/>
          <w:lang w:val="en-GB"/>
        </w:rPr>
      </w:pPr>
      <w:r w:rsidRPr="002F49B6">
        <w:rPr>
          <w:rFonts w:cstheme="minorHAnsi"/>
          <w:b/>
          <w:bCs/>
          <w:sz w:val="24"/>
          <w:szCs w:val="24"/>
          <w:lang w:val="en-GB"/>
        </w:rPr>
        <w:t xml:space="preserve">European Common Proposals for </w:t>
      </w:r>
      <w:r w:rsidR="00E05A1E">
        <w:rPr>
          <w:rFonts w:cstheme="minorHAnsi"/>
          <w:b/>
          <w:bCs/>
          <w:sz w:val="24"/>
          <w:szCs w:val="24"/>
          <w:lang w:val="en-GB"/>
        </w:rPr>
        <w:t>PP-22</w:t>
      </w:r>
    </w:p>
    <w:p w14:paraId="619A8419" w14:textId="77777777" w:rsidR="00E05A1E" w:rsidRDefault="00E05A1E" w:rsidP="00925E20">
      <w:pPr>
        <w:spacing w:after="120" w:line="276" w:lineRule="auto"/>
        <w:jc w:val="center"/>
        <w:rPr>
          <w:rFonts w:cstheme="minorHAnsi"/>
          <w:b/>
          <w:bCs/>
          <w:sz w:val="24"/>
          <w:szCs w:val="24"/>
          <w:lang w:val="en-GB"/>
        </w:rPr>
      </w:pPr>
    </w:p>
    <w:tbl>
      <w:tblPr>
        <w:tblStyle w:val="TableGrid"/>
        <w:tblW w:w="0" w:type="auto"/>
        <w:tblLook w:val="04A0" w:firstRow="1" w:lastRow="0" w:firstColumn="1" w:lastColumn="0" w:noHBand="0" w:noVBand="1"/>
      </w:tblPr>
      <w:tblGrid>
        <w:gridCol w:w="1271"/>
        <w:gridCol w:w="3686"/>
        <w:gridCol w:w="4671"/>
      </w:tblGrid>
      <w:tr w:rsidR="00113F4A" w14:paraId="53202F56" w14:textId="77777777" w:rsidTr="00671DB6">
        <w:tc>
          <w:tcPr>
            <w:tcW w:w="1271" w:type="dxa"/>
          </w:tcPr>
          <w:p w14:paraId="1554AFAC" w14:textId="307DCCE9" w:rsidR="00113F4A" w:rsidRDefault="00113F4A" w:rsidP="00113F4A">
            <w:pPr>
              <w:spacing w:after="120" w:line="276" w:lineRule="auto"/>
              <w:rPr>
                <w:rFonts w:cstheme="minorHAnsi"/>
                <w:b/>
                <w:bCs/>
                <w:sz w:val="24"/>
                <w:szCs w:val="24"/>
                <w:lang w:val="en-GB"/>
              </w:rPr>
            </w:pPr>
            <w:r>
              <w:rPr>
                <w:sz w:val="20"/>
                <w:lang w:val="en-US"/>
              </w:rPr>
              <w:t>ECP No.</w:t>
            </w:r>
          </w:p>
        </w:tc>
        <w:tc>
          <w:tcPr>
            <w:tcW w:w="3686" w:type="dxa"/>
          </w:tcPr>
          <w:p w14:paraId="6CE41713" w14:textId="652AD445" w:rsidR="00113F4A" w:rsidRDefault="00113F4A" w:rsidP="00113F4A">
            <w:pPr>
              <w:spacing w:after="120" w:line="276" w:lineRule="auto"/>
              <w:rPr>
                <w:rFonts w:cstheme="minorHAnsi"/>
                <w:b/>
                <w:bCs/>
                <w:sz w:val="24"/>
                <w:szCs w:val="24"/>
                <w:lang w:val="en-GB"/>
              </w:rPr>
            </w:pPr>
            <w:r>
              <w:rPr>
                <w:sz w:val="20"/>
                <w:lang w:val="en-US" w:eastAsia="sv-SE"/>
              </w:rPr>
              <w:t>Subject</w:t>
            </w:r>
          </w:p>
        </w:tc>
        <w:tc>
          <w:tcPr>
            <w:tcW w:w="4671" w:type="dxa"/>
          </w:tcPr>
          <w:p w14:paraId="05561995" w14:textId="3382CB20" w:rsidR="00113F4A" w:rsidRPr="00671DB6" w:rsidRDefault="00113F4A" w:rsidP="00113F4A">
            <w:pPr>
              <w:spacing w:after="120" w:line="276" w:lineRule="auto"/>
              <w:rPr>
                <w:rFonts w:cstheme="minorHAnsi"/>
                <w:b/>
                <w:bCs/>
                <w:sz w:val="20"/>
                <w:szCs w:val="20"/>
                <w:lang w:val="en-GB"/>
              </w:rPr>
            </w:pPr>
            <w:r w:rsidRPr="00671DB6">
              <w:rPr>
                <w:sz w:val="20"/>
                <w:szCs w:val="20"/>
                <w:lang w:val="en-US" w:eastAsia="sv-SE"/>
              </w:rPr>
              <w:t>Outcome</w:t>
            </w:r>
          </w:p>
        </w:tc>
      </w:tr>
      <w:tr w:rsidR="00113F4A" w14:paraId="4B00587D" w14:textId="77777777" w:rsidTr="00671DB6">
        <w:tc>
          <w:tcPr>
            <w:tcW w:w="1271" w:type="dxa"/>
          </w:tcPr>
          <w:p w14:paraId="14C4D7A7" w14:textId="371E3BCD" w:rsidR="00113F4A" w:rsidRDefault="00113F4A" w:rsidP="00113F4A">
            <w:pPr>
              <w:spacing w:after="120" w:line="276" w:lineRule="auto"/>
              <w:rPr>
                <w:rFonts w:cstheme="minorHAnsi"/>
                <w:b/>
                <w:bCs/>
                <w:sz w:val="24"/>
                <w:szCs w:val="24"/>
                <w:lang w:val="en-GB"/>
              </w:rPr>
            </w:pPr>
            <w:r>
              <w:rPr>
                <w:sz w:val="20"/>
                <w:lang w:val="en-US" w:eastAsia="sv-SE"/>
              </w:rPr>
              <w:t>ECP 1</w:t>
            </w:r>
          </w:p>
        </w:tc>
        <w:tc>
          <w:tcPr>
            <w:tcW w:w="3686" w:type="dxa"/>
          </w:tcPr>
          <w:p w14:paraId="5E91DA3D" w14:textId="1DE8EE0F" w:rsidR="00113F4A" w:rsidRDefault="00113F4A" w:rsidP="00113F4A">
            <w:pPr>
              <w:spacing w:after="120" w:line="276" w:lineRule="auto"/>
              <w:rPr>
                <w:rFonts w:cstheme="minorHAnsi"/>
                <w:b/>
                <w:bCs/>
                <w:sz w:val="24"/>
                <w:szCs w:val="24"/>
                <w:lang w:val="en-GB"/>
              </w:rPr>
            </w:pPr>
            <w:r>
              <w:rPr>
                <w:b/>
                <w:bCs/>
                <w:lang w:val="en-US"/>
              </w:rPr>
              <w:t>CEPT VISION FOR ITU</w:t>
            </w:r>
          </w:p>
        </w:tc>
        <w:tc>
          <w:tcPr>
            <w:tcW w:w="4671" w:type="dxa"/>
          </w:tcPr>
          <w:p w14:paraId="1B735388" w14:textId="77777777" w:rsidR="00113F4A" w:rsidRDefault="009D1BCE" w:rsidP="00113F4A">
            <w:pPr>
              <w:spacing w:after="120" w:line="276" w:lineRule="auto"/>
              <w:rPr>
                <w:rFonts w:cstheme="minorHAnsi"/>
                <w:sz w:val="20"/>
                <w:szCs w:val="20"/>
                <w:lang w:val="en-GB"/>
              </w:rPr>
            </w:pPr>
            <w:r w:rsidRPr="00671DB6">
              <w:rPr>
                <w:rFonts w:cstheme="minorHAnsi"/>
                <w:sz w:val="20"/>
                <w:szCs w:val="20"/>
                <w:lang w:val="en-GB"/>
              </w:rPr>
              <w:t xml:space="preserve">No </w:t>
            </w:r>
            <w:r w:rsidR="00CC1FE3" w:rsidRPr="00671DB6">
              <w:rPr>
                <w:rFonts w:cstheme="minorHAnsi"/>
                <w:sz w:val="20"/>
                <w:szCs w:val="20"/>
                <w:lang w:val="en-GB"/>
              </w:rPr>
              <w:t xml:space="preserve">direct </w:t>
            </w:r>
            <w:r w:rsidRPr="00671DB6">
              <w:rPr>
                <w:rFonts w:cstheme="minorHAnsi"/>
                <w:sz w:val="20"/>
                <w:szCs w:val="20"/>
                <w:lang w:val="en-GB"/>
              </w:rPr>
              <w:t>outcome at PP</w:t>
            </w:r>
            <w:r w:rsidR="00671DB6">
              <w:rPr>
                <w:rFonts w:cstheme="minorHAnsi"/>
                <w:sz w:val="20"/>
                <w:szCs w:val="20"/>
                <w:lang w:val="en-GB"/>
              </w:rPr>
              <w:t>:</w:t>
            </w:r>
            <w:r w:rsidRPr="00671DB6">
              <w:rPr>
                <w:rFonts w:cstheme="minorHAnsi"/>
                <w:sz w:val="20"/>
                <w:szCs w:val="20"/>
                <w:lang w:val="en-GB"/>
              </w:rPr>
              <w:t xml:space="preserve"> this was a broad framing exercise</w:t>
            </w:r>
            <w:r w:rsidR="00CC1FE3" w:rsidRPr="00671DB6">
              <w:rPr>
                <w:rFonts w:cstheme="minorHAnsi"/>
                <w:sz w:val="20"/>
                <w:szCs w:val="20"/>
                <w:lang w:val="en-GB"/>
              </w:rPr>
              <w:t xml:space="preserve"> </w:t>
            </w:r>
            <w:r w:rsidR="00671DB6" w:rsidRPr="00671DB6">
              <w:rPr>
                <w:rFonts w:cstheme="minorHAnsi"/>
                <w:sz w:val="20"/>
                <w:szCs w:val="20"/>
                <w:lang w:val="en-GB"/>
              </w:rPr>
              <w:t xml:space="preserve">that proved helpful strategic context </w:t>
            </w:r>
            <w:r w:rsidR="00CC1FE3" w:rsidRPr="00671DB6">
              <w:rPr>
                <w:rFonts w:cstheme="minorHAnsi"/>
                <w:sz w:val="20"/>
                <w:szCs w:val="20"/>
                <w:lang w:val="en-GB"/>
              </w:rPr>
              <w:t xml:space="preserve">for all our work on ECPs, although this fed into early drafts of the </w:t>
            </w:r>
            <w:r w:rsidR="00671DB6" w:rsidRPr="00671DB6">
              <w:rPr>
                <w:rFonts w:cstheme="minorHAnsi"/>
                <w:sz w:val="20"/>
                <w:szCs w:val="20"/>
                <w:lang w:val="en-GB"/>
              </w:rPr>
              <w:t xml:space="preserve">ITU </w:t>
            </w:r>
            <w:r w:rsidR="00CC1FE3" w:rsidRPr="00671DB6">
              <w:rPr>
                <w:rFonts w:cstheme="minorHAnsi"/>
                <w:sz w:val="20"/>
                <w:szCs w:val="20"/>
                <w:lang w:val="en-GB"/>
              </w:rPr>
              <w:t>Strategic Plan.</w:t>
            </w:r>
          </w:p>
          <w:p w14:paraId="1C6E3552" w14:textId="0B2F63D9" w:rsidR="001265E9" w:rsidRPr="001265E9" w:rsidRDefault="001265E9" w:rsidP="00113F4A">
            <w:pPr>
              <w:spacing w:after="120" w:line="276" w:lineRule="auto"/>
              <w:rPr>
                <w:rFonts w:cstheme="minorHAnsi"/>
                <w:sz w:val="20"/>
                <w:szCs w:val="20"/>
                <w:u w:val="single"/>
                <w:lang w:val="en-GB"/>
              </w:rPr>
            </w:pPr>
            <w:r w:rsidRPr="001265E9">
              <w:rPr>
                <w:rFonts w:cstheme="minorHAnsi"/>
                <w:sz w:val="20"/>
                <w:szCs w:val="20"/>
                <w:u w:val="single"/>
                <w:lang w:val="en-GB"/>
              </w:rPr>
              <w:t xml:space="preserve">Next steps: consider updating our Vision </w:t>
            </w:r>
            <w:r w:rsidR="00AD5EBF">
              <w:rPr>
                <w:rFonts w:cstheme="minorHAnsi"/>
                <w:sz w:val="20"/>
                <w:szCs w:val="20"/>
                <w:u w:val="single"/>
                <w:lang w:val="en-GB"/>
              </w:rPr>
              <w:t xml:space="preserve">for the next meeting (WTSA) and the next PP, </w:t>
            </w:r>
            <w:r w:rsidRPr="001265E9">
              <w:rPr>
                <w:rFonts w:cstheme="minorHAnsi"/>
                <w:sz w:val="20"/>
                <w:szCs w:val="20"/>
                <w:u w:val="single"/>
                <w:lang w:val="en-GB"/>
              </w:rPr>
              <w:t>in light of new ITU leadership’s ambitions.</w:t>
            </w:r>
          </w:p>
        </w:tc>
      </w:tr>
      <w:tr w:rsidR="00113F4A" w14:paraId="4EFAF383" w14:textId="77777777" w:rsidTr="00671DB6">
        <w:tc>
          <w:tcPr>
            <w:tcW w:w="1271" w:type="dxa"/>
          </w:tcPr>
          <w:p w14:paraId="674F9B1C" w14:textId="0C016CF9" w:rsidR="00113F4A" w:rsidRDefault="00113F4A" w:rsidP="00113F4A">
            <w:pPr>
              <w:spacing w:after="120" w:line="276" w:lineRule="auto"/>
              <w:rPr>
                <w:rFonts w:cstheme="minorHAnsi"/>
                <w:b/>
                <w:bCs/>
                <w:sz w:val="24"/>
                <w:szCs w:val="24"/>
                <w:lang w:val="en-GB"/>
              </w:rPr>
            </w:pPr>
            <w:r>
              <w:rPr>
                <w:sz w:val="20"/>
                <w:lang w:val="en-US"/>
              </w:rPr>
              <w:t>ECP 2</w:t>
            </w:r>
          </w:p>
        </w:tc>
        <w:tc>
          <w:tcPr>
            <w:tcW w:w="3686" w:type="dxa"/>
          </w:tcPr>
          <w:p w14:paraId="73FE69FE" w14:textId="2DBE56CA" w:rsidR="00113F4A" w:rsidRDefault="00113F4A" w:rsidP="00113F4A">
            <w:pPr>
              <w:spacing w:after="120" w:line="276" w:lineRule="auto"/>
              <w:rPr>
                <w:rFonts w:cstheme="minorHAnsi"/>
                <w:b/>
                <w:bCs/>
                <w:sz w:val="24"/>
                <w:szCs w:val="24"/>
                <w:lang w:val="en-GB"/>
              </w:rPr>
            </w:pPr>
            <w:r>
              <w:rPr>
                <w:b/>
                <w:bCs/>
                <w:sz w:val="20"/>
                <w:lang w:val="en-US"/>
              </w:rPr>
              <w:t>Revision to Resolution 70</w:t>
            </w:r>
            <w:r>
              <w:rPr>
                <w:sz w:val="20"/>
                <w:lang w:val="en-US"/>
              </w:rPr>
              <w:t>: Mainstreaming a gender perspective in ITU and promotion of gender equality and the empowerment of all women and girls through information and communication technologies</w:t>
            </w:r>
          </w:p>
        </w:tc>
        <w:tc>
          <w:tcPr>
            <w:tcW w:w="4671" w:type="dxa"/>
          </w:tcPr>
          <w:p w14:paraId="3DEA0D8B" w14:textId="77777777" w:rsidR="00113F4A" w:rsidRDefault="00671DB6" w:rsidP="00113F4A">
            <w:pPr>
              <w:spacing w:after="120" w:line="276" w:lineRule="auto"/>
              <w:rPr>
                <w:rFonts w:cstheme="minorHAnsi"/>
                <w:sz w:val="20"/>
                <w:szCs w:val="20"/>
                <w:lang w:val="en-GB"/>
              </w:rPr>
            </w:pPr>
            <w:r w:rsidRPr="00671DB6">
              <w:rPr>
                <w:rFonts w:cstheme="minorHAnsi"/>
                <w:sz w:val="20"/>
                <w:szCs w:val="20"/>
                <w:lang w:val="en-GB"/>
              </w:rPr>
              <w:t xml:space="preserve">Resolution was updated to reflect many of the CEPT proposals. </w:t>
            </w:r>
          </w:p>
          <w:p w14:paraId="023539E7" w14:textId="0EC24F43" w:rsidR="00EB4033" w:rsidRPr="00727506" w:rsidRDefault="00EB4033" w:rsidP="00113F4A">
            <w:pPr>
              <w:spacing w:after="120" w:line="276" w:lineRule="auto"/>
              <w:rPr>
                <w:rFonts w:cstheme="minorHAnsi"/>
                <w:sz w:val="20"/>
                <w:szCs w:val="20"/>
                <w:u w:val="single"/>
                <w:lang w:val="en-GB"/>
              </w:rPr>
            </w:pPr>
            <w:r w:rsidRPr="00727506">
              <w:rPr>
                <w:rFonts w:cstheme="minorHAnsi"/>
                <w:sz w:val="20"/>
                <w:szCs w:val="20"/>
                <w:u w:val="single"/>
                <w:lang w:val="en-GB"/>
              </w:rPr>
              <w:t xml:space="preserve">Next steps: </w:t>
            </w:r>
            <w:r w:rsidR="00F00E29" w:rsidRPr="00727506">
              <w:rPr>
                <w:rFonts w:cstheme="minorHAnsi"/>
                <w:sz w:val="20"/>
                <w:szCs w:val="20"/>
                <w:u w:val="single"/>
                <w:lang w:val="en-GB"/>
              </w:rPr>
              <w:t xml:space="preserve">PP discussions suggest </w:t>
            </w:r>
            <w:r w:rsidR="00AF268D" w:rsidRPr="00727506">
              <w:rPr>
                <w:rFonts w:cstheme="minorHAnsi"/>
                <w:sz w:val="20"/>
                <w:szCs w:val="20"/>
                <w:u w:val="single"/>
                <w:lang w:val="en-GB"/>
              </w:rPr>
              <w:t xml:space="preserve">further progress </w:t>
            </w:r>
            <w:r w:rsidR="00F00E29" w:rsidRPr="00727506">
              <w:rPr>
                <w:rFonts w:cstheme="minorHAnsi"/>
                <w:sz w:val="20"/>
                <w:szCs w:val="20"/>
                <w:u w:val="single"/>
                <w:lang w:val="en-GB"/>
              </w:rPr>
              <w:t xml:space="preserve">still </w:t>
            </w:r>
            <w:r w:rsidR="00AF268D" w:rsidRPr="00727506">
              <w:rPr>
                <w:rFonts w:cstheme="minorHAnsi"/>
                <w:sz w:val="20"/>
                <w:szCs w:val="20"/>
                <w:u w:val="single"/>
                <w:lang w:val="en-GB"/>
              </w:rPr>
              <w:t xml:space="preserve">to be made, </w:t>
            </w:r>
            <w:r w:rsidR="0063460A" w:rsidRPr="00727506">
              <w:rPr>
                <w:rFonts w:cstheme="minorHAnsi"/>
                <w:sz w:val="20"/>
                <w:szCs w:val="20"/>
                <w:u w:val="single"/>
                <w:lang w:val="en-GB"/>
              </w:rPr>
              <w:t>Council Members particularly to consider</w:t>
            </w:r>
            <w:r w:rsidR="00F00E29" w:rsidRPr="00727506">
              <w:rPr>
                <w:rFonts w:cstheme="minorHAnsi"/>
                <w:sz w:val="20"/>
                <w:szCs w:val="20"/>
                <w:u w:val="single"/>
                <w:lang w:val="en-GB"/>
              </w:rPr>
              <w:t xml:space="preserve"> how to take forward</w:t>
            </w:r>
            <w:r w:rsidR="0063460A" w:rsidRPr="00727506">
              <w:rPr>
                <w:rFonts w:cstheme="minorHAnsi"/>
                <w:sz w:val="20"/>
                <w:szCs w:val="20"/>
                <w:u w:val="single"/>
                <w:lang w:val="en-GB"/>
              </w:rPr>
              <w:t>.</w:t>
            </w:r>
          </w:p>
        </w:tc>
      </w:tr>
      <w:tr w:rsidR="00113F4A" w14:paraId="4A14259A" w14:textId="77777777" w:rsidTr="00671DB6">
        <w:tc>
          <w:tcPr>
            <w:tcW w:w="1271" w:type="dxa"/>
          </w:tcPr>
          <w:p w14:paraId="0C5CC2F6" w14:textId="7A143E0C" w:rsidR="00113F4A" w:rsidRDefault="00113F4A" w:rsidP="00113F4A">
            <w:pPr>
              <w:spacing w:after="120" w:line="276" w:lineRule="auto"/>
              <w:rPr>
                <w:rFonts w:cstheme="minorHAnsi"/>
                <w:b/>
                <w:bCs/>
                <w:sz w:val="24"/>
                <w:szCs w:val="24"/>
                <w:lang w:val="en-GB"/>
              </w:rPr>
            </w:pPr>
            <w:r>
              <w:rPr>
                <w:sz w:val="20"/>
                <w:lang w:val="en-US"/>
              </w:rPr>
              <w:t>ECP 3</w:t>
            </w:r>
          </w:p>
        </w:tc>
        <w:tc>
          <w:tcPr>
            <w:tcW w:w="3686" w:type="dxa"/>
          </w:tcPr>
          <w:p w14:paraId="5DAFFDBB" w14:textId="759D5B2D" w:rsidR="00113F4A" w:rsidRDefault="00113F4A" w:rsidP="00113F4A">
            <w:pPr>
              <w:spacing w:after="120" w:line="276" w:lineRule="auto"/>
              <w:rPr>
                <w:rFonts w:cstheme="minorHAnsi"/>
                <w:b/>
                <w:bCs/>
                <w:sz w:val="24"/>
                <w:szCs w:val="24"/>
                <w:lang w:val="en-GB"/>
              </w:rPr>
            </w:pPr>
            <w:r>
              <w:rPr>
                <w:b/>
                <w:bCs/>
                <w:sz w:val="20"/>
                <w:lang w:val="en-US"/>
              </w:rPr>
              <w:t>Revision to Resolution 101</w:t>
            </w:r>
            <w:r>
              <w:rPr>
                <w:sz w:val="20"/>
                <w:lang w:val="en-US"/>
              </w:rPr>
              <w:t>: Internet Protocol-based networks</w:t>
            </w:r>
          </w:p>
        </w:tc>
        <w:tc>
          <w:tcPr>
            <w:tcW w:w="4671" w:type="dxa"/>
          </w:tcPr>
          <w:p w14:paraId="7EF71ECF" w14:textId="77777777" w:rsidR="00113F4A" w:rsidRDefault="00A75C49" w:rsidP="00113F4A">
            <w:pPr>
              <w:spacing w:after="120" w:line="276" w:lineRule="auto"/>
              <w:rPr>
                <w:rFonts w:cstheme="minorHAnsi"/>
                <w:sz w:val="20"/>
                <w:szCs w:val="20"/>
                <w:lang w:val="en-GB"/>
              </w:rPr>
            </w:pPr>
            <w:r>
              <w:rPr>
                <w:rFonts w:cstheme="minorHAnsi"/>
                <w:sz w:val="20"/>
                <w:szCs w:val="20"/>
                <w:lang w:val="en-GB"/>
              </w:rPr>
              <w:t xml:space="preserve">Resolution was updated with </w:t>
            </w:r>
            <w:r w:rsidRPr="00A75C49">
              <w:rPr>
                <w:rFonts w:cstheme="minorHAnsi"/>
                <w:sz w:val="20"/>
                <w:szCs w:val="20"/>
                <w:lang w:val="en-GB"/>
              </w:rPr>
              <w:t>a little more language on stakeholders added</w:t>
            </w:r>
            <w:r w:rsidR="004D212D">
              <w:rPr>
                <w:rFonts w:cstheme="minorHAnsi"/>
                <w:sz w:val="20"/>
                <w:szCs w:val="20"/>
                <w:lang w:val="en-GB"/>
              </w:rPr>
              <w:t>.</w:t>
            </w:r>
          </w:p>
          <w:p w14:paraId="43A5C8C6" w14:textId="137E59AB" w:rsidR="004D212D" w:rsidRPr="004A75FB" w:rsidRDefault="004D212D" w:rsidP="00113F4A">
            <w:pPr>
              <w:spacing w:after="120" w:line="276" w:lineRule="auto"/>
              <w:rPr>
                <w:rFonts w:cstheme="minorHAnsi"/>
                <w:sz w:val="20"/>
                <w:szCs w:val="20"/>
                <w:u w:val="single"/>
                <w:lang w:val="en-GB"/>
              </w:rPr>
            </w:pPr>
            <w:r w:rsidRPr="004A75FB">
              <w:rPr>
                <w:rFonts w:cstheme="minorHAnsi"/>
                <w:sz w:val="20"/>
                <w:szCs w:val="20"/>
                <w:u w:val="single"/>
                <w:lang w:val="en-GB"/>
              </w:rPr>
              <w:t>Next steps: discussion will continue in CWG-Internet</w:t>
            </w:r>
          </w:p>
        </w:tc>
      </w:tr>
      <w:tr w:rsidR="00113F4A" w14:paraId="79DC534F" w14:textId="77777777" w:rsidTr="00671DB6">
        <w:tc>
          <w:tcPr>
            <w:tcW w:w="1271" w:type="dxa"/>
          </w:tcPr>
          <w:p w14:paraId="01F35E57" w14:textId="30BFC143" w:rsidR="00113F4A" w:rsidRDefault="00113F4A" w:rsidP="00113F4A">
            <w:pPr>
              <w:spacing w:after="120" w:line="276" w:lineRule="auto"/>
              <w:rPr>
                <w:rFonts w:cstheme="minorHAnsi"/>
                <w:b/>
                <w:bCs/>
                <w:sz w:val="24"/>
                <w:szCs w:val="24"/>
                <w:lang w:val="en-GB"/>
              </w:rPr>
            </w:pPr>
            <w:r>
              <w:rPr>
                <w:sz w:val="20"/>
                <w:lang w:val="en-US"/>
              </w:rPr>
              <w:t>ECP 4</w:t>
            </w:r>
          </w:p>
        </w:tc>
        <w:tc>
          <w:tcPr>
            <w:tcW w:w="3686" w:type="dxa"/>
          </w:tcPr>
          <w:p w14:paraId="7076D777" w14:textId="4766012E" w:rsidR="00113F4A" w:rsidRDefault="00113F4A" w:rsidP="00113F4A">
            <w:pPr>
              <w:spacing w:after="120" w:line="276" w:lineRule="auto"/>
              <w:rPr>
                <w:rFonts w:cstheme="minorHAnsi"/>
                <w:b/>
                <w:bCs/>
                <w:sz w:val="24"/>
                <w:szCs w:val="24"/>
                <w:lang w:val="en-GB"/>
              </w:rPr>
            </w:pPr>
            <w:r>
              <w:rPr>
                <w:b/>
                <w:bCs/>
                <w:sz w:val="20"/>
                <w:lang w:val="en-US"/>
              </w:rPr>
              <w:t>Revision to Resolution 102</w:t>
            </w:r>
            <w:r>
              <w:rPr>
                <w:sz w:val="20"/>
                <w:lang w:val="en-US"/>
              </w:rPr>
              <w:t>: ITU's role with regard to international public policy issues pertaining to the Internet and the management of Internet resources, including domain names and addresses</w:t>
            </w:r>
          </w:p>
        </w:tc>
        <w:tc>
          <w:tcPr>
            <w:tcW w:w="4671" w:type="dxa"/>
          </w:tcPr>
          <w:p w14:paraId="4436E7B0" w14:textId="77777777" w:rsidR="006321F1" w:rsidRDefault="006321F1" w:rsidP="00113F4A">
            <w:pPr>
              <w:spacing w:after="120" w:line="276" w:lineRule="auto"/>
              <w:rPr>
                <w:rFonts w:cstheme="minorHAnsi"/>
                <w:sz w:val="20"/>
                <w:szCs w:val="20"/>
                <w:lang w:val="en-GB"/>
              </w:rPr>
            </w:pPr>
            <w:r w:rsidRPr="006321F1">
              <w:rPr>
                <w:rFonts w:cstheme="minorHAnsi"/>
                <w:sz w:val="20"/>
                <w:szCs w:val="20"/>
                <w:lang w:val="en-GB"/>
              </w:rPr>
              <w:t xml:space="preserve">This </w:t>
            </w:r>
            <w:r w:rsidR="00F5466A" w:rsidRPr="006321F1">
              <w:rPr>
                <w:rFonts w:cstheme="minorHAnsi"/>
                <w:sz w:val="20"/>
                <w:szCs w:val="20"/>
                <w:lang w:val="en-GB"/>
              </w:rPr>
              <w:t xml:space="preserve">was the most challenging and long negotiated </w:t>
            </w:r>
            <w:r w:rsidRPr="006321F1">
              <w:rPr>
                <w:rFonts w:cstheme="minorHAnsi"/>
                <w:sz w:val="20"/>
                <w:szCs w:val="20"/>
                <w:lang w:val="en-GB"/>
              </w:rPr>
              <w:t xml:space="preserve">of the internet </w:t>
            </w:r>
            <w:r w:rsidR="00F5466A" w:rsidRPr="006321F1">
              <w:rPr>
                <w:rFonts w:cstheme="minorHAnsi"/>
                <w:sz w:val="20"/>
                <w:szCs w:val="20"/>
                <w:lang w:val="en-GB"/>
              </w:rPr>
              <w:t>resolution</w:t>
            </w:r>
            <w:r w:rsidRPr="006321F1">
              <w:rPr>
                <w:rFonts w:cstheme="minorHAnsi"/>
                <w:sz w:val="20"/>
                <w:szCs w:val="20"/>
                <w:lang w:val="en-GB"/>
              </w:rPr>
              <w:t>s</w:t>
            </w:r>
            <w:r w:rsidR="00F5466A" w:rsidRPr="006321F1">
              <w:rPr>
                <w:rFonts w:cstheme="minorHAnsi"/>
                <w:sz w:val="20"/>
                <w:szCs w:val="20"/>
                <w:lang w:val="en-GB"/>
              </w:rPr>
              <w:t xml:space="preserve">. Opening up the CWG-Internet and promoting or removing the footnote was the biggest point of divergence. But also increasing the role of ITU in Internet governance was at stake and much of the text remained the status quo. However, there were some </w:t>
            </w:r>
            <w:r w:rsidRPr="006321F1">
              <w:rPr>
                <w:rFonts w:cstheme="minorHAnsi"/>
                <w:sz w:val="20"/>
                <w:szCs w:val="20"/>
                <w:lang w:val="en-GB"/>
              </w:rPr>
              <w:t>positive</w:t>
            </w:r>
            <w:r w:rsidR="00F5466A" w:rsidRPr="006321F1">
              <w:rPr>
                <w:rFonts w:cstheme="minorHAnsi"/>
                <w:sz w:val="20"/>
                <w:szCs w:val="20"/>
                <w:lang w:val="en-GB"/>
              </w:rPr>
              <w:t xml:space="preserve"> points including sustainable development, inclusion of best practices and fostering cooperation. But also language on new and emerging technology was added.</w:t>
            </w:r>
          </w:p>
          <w:p w14:paraId="1A34E25A" w14:textId="0963266E" w:rsidR="00113F4A" w:rsidRPr="006321F1" w:rsidRDefault="006321F1" w:rsidP="00113F4A">
            <w:pPr>
              <w:spacing w:after="120" w:line="276" w:lineRule="auto"/>
              <w:rPr>
                <w:rFonts w:cstheme="minorHAnsi"/>
                <w:sz w:val="20"/>
                <w:szCs w:val="20"/>
                <w:lang w:val="en-GB"/>
              </w:rPr>
            </w:pPr>
            <w:r w:rsidRPr="004A75FB">
              <w:rPr>
                <w:rFonts w:cstheme="minorHAnsi"/>
                <w:sz w:val="20"/>
                <w:szCs w:val="20"/>
                <w:u w:val="single"/>
                <w:lang w:val="en-GB"/>
              </w:rPr>
              <w:t>Next steps: discussion will continue in CWG-Internet</w:t>
            </w:r>
          </w:p>
        </w:tc>
      </w:tr>
      <w:tr w:rsidR="00113F4A" w14:paraId="632B33A3" w14:textId="77777777" w:rsidTr="00671DB6">
        <w:tc>
          <w:tcPr>
            <w:tcW w:w="1271" w:type="dxa"/>
          </w:tcPr>
          <w:p w14:paraId="1474FBE2" w14:textId="2F481362" w:rsidR="00113F4A" w:rsidRDefault="00113F4A" w:rsidP="00113F4A">
            <w:pPr>
              <w:spacing w:after="120" w:line="276" w:lineRule="auto"/>
              <w:rPr>
                <w:rFonts w:cstheme="minorHAnsi"/>
                <w:b/>
                <w:bCs/>
                <w:sz w:val="24"/>
                <w:szCs w:val="24"/>
                <w:lang w:val="en-GB"/>
              </w:rPr>
            </w:pPr>
            <w:r>
              <w:rPr>
                <w:sz w:val="20"/>
                <w:lang w:val="en-US"/>
              </w:rPr>
              <w:t>ECP 5</w:t>
            </w:r>
          </w:p>
        </w:tc>
        <w:tc>
          <w:tcPr>
            <w:tcW w:w="3686" w:type="dxa"/>
          </w:tcPr>
          <w:p w14:paraId="66EFBC14" w14:textId="7B1C6FFD" w:rsidR="00113F4A" w:rsidRDefault="00113F4A" w:rsidP="00113F4A">
            <w:pPr>
              <w:spacing w:after="120" w:line="276" w:lineRule="auto"/>
              <w:rPr>
                <w:rFonts w:cstheme="minorHAnsi"/>
                <w:b/>
                <w:bCs/>
                <w:sz w:val="24"/>
                <w:szCs w:val="24"/>
                <w:lang w:val="en-GB"/>
              </w:rPr>
            </w:pPr>
            <w:r>
              <w:rPr>
                <w:b/>
                <w:bCs/>
                <w:sz w:val="20"/>
                <w:lang w:val="en-US"/>
              </w:rPr>
              <w:t>Revision to Resolution 133</w:t>
            </w:r>
            <w:r>
              <w:rPr>
                <w:sz w:val="20"/>
                <w:lang w:val="en-US"/>
              </w:rPr>
              <w:t>: Role of administrations of Member States in the management of internationalized (multilingual) domain names</w:t>
            </w:r>
          </w:p>
        </w:tc>
        <w:tc>
          <w:tcPr>
            <w:tcW w:w="4671" w:type="dxa"/>
          </w:tcPr>
          <w:p w14:paraId="2F0E0461" w14:textId="77777777" w:rsidR="006321F1" w:rsidRDefault="006321F1" w:rsidP="006321F1">
            <w:pPr>
              <w:spacing w:after="120" w:line="276" w:lineRule="auto"/>
              <w:rPr>
                <w:rFonts w:cstheme="minorHAnsi"/>
                <w:sz w:val="20"/>
                <w:szCs w:val="20"/>
                <w:lang w:val="en-GB"/>
              </w:rPr>
            </w:pPr>
            <w:r w:rsidRPr="006321F1">
              <w:rPr>
                <w:rFonts w:cstheme="minorHAnsi"/>
                <w:sz w:val="20"/>
                <w:szCs w:val="20"/>
                <w:lang w:val="en-GB"/>
              </w:rPr>
              <w:t>N</w:t>
            </w:r>
            <w:r w:rsidR="005F6CC7" w:rsidRPr="006321F1">
              <w:rPr>
                <w:rFonts w:cstheme="minorHAnsi"/>
                <w:sz w:val="20"/>
                <w:szCs w:val="20"/>
                <w:lang w:val="en-GB"/>
              </w:rPr>
              <w:t>ew language on connectivity, accessibility, women and children capacity building, digital skills and stakeholders was added. Furthermore, strengthening the need for reporting from GAC to the ITU Council was added.</w:t>
            </w:r>
          </w:p>
          <w:p w14:paraId="160F4733" w14:textId="47CACB8A" w:rsidR="00113F4A" w:rsidRPr="006321F1" w:rsidRDefault="006321F1" w:rsidP="006321F1">
            <w:pPr>
              <w:spacing w:after="120" w:line="276" w:lineRule="auto"/>
              <w:rPr>
                <w:rFonts w:cstheme="minorHAnsi"/>
                <w:sz w:val="20"/>
                <w:szCs w:val="20"/>
                <w:lang w:val="en-GB"/>
              </w:rPr>
            </w:pPr>
            <w:r w:rsidRPr="004A75FB">
              <w:rPr>
                <w:rFonts w:cstheme="minorHAnsi"/>
                <w:sz w:val="20"/>
                <w:szCs w:val="20"/>
                <w:u w:val="single"/>
                <w:lang w:val="en-GB"/>
              </w:rPr>
              <w:t>Next steps: discussion will continue in CWG-Internet</w:t>
            </w:r>
          </w:p>
        </w:tc>
      </w:tr>
      <w:tr w:rsidR="00113F4A" w14:paraId="29BC0D6F" w14:textId="77777777" w:rsidTr="00671DB6">
        <w:tc>
          <w:tcPr>
            <w:tcW w:w="1271" w:type="dxa"/>
          </w:tcPr>
          <w:p w14:paraId="0B68D254" w14:textId="0D013181" w:rsidR="00113F4A" w:rsidRDefault="00113F4A" w:rsidP="00113F4A">
            <w:pPr>
              <w:spacing w:after="120" w:line="276" w:lineRule="auto"/>
              <w:rPr>
                <w:rFonts w:cstheme="minorHAnsi"/>
                <w:b/>
                <w:bCs/>
                <w:sz w:val="24"/>
                <w:szCs w:val="24"/>
                <w:lang w:val="en-GB"/>
              </w:rPr>
            </w:pPr>
            <w:r>
              <w:rPr>
                <w:sz w:val="20"/>
                <w:lang w:val="en-US"/>
              </w:rPr>
              <w:t>ECP 6</w:t>
            </w:r>
          </w:p>
        </w:tc>
        <w:tc>
          <w:tcPr>
            <w:tcW w:w="3686" w:type="dxa"/>
          </w:tcPr>
          <w:p w14:paraId="4F599963" w14:textId="01D4C742" w:rsidR="00113F4A" w:rsidRDefault="00113F4A" w:rsidP="00113F4A">
            <w:pPr>
              <w:spacing w:after="120" w:line="276" w:lineRule="auto"/>
              <w:rPr>
                <w:rFonts w:cstheme="minorHAnsi"/>
                <w:b/>
                <w:bCs/>
                <w:sz w:val="24"/>
                <w:szCs w:val="24"/>
                <w:lang w:val="en-GB"/>
              </w:rPr>
            </w:pPr>
            <w:r>
              <w:rPr>
                <w:b/>
                <w:bCs/>
                <w:sz w:val="20"/>
                <w:lang w:val="en-US"/>
              </w:rPr>
              <w:t>Revision to Resolution 180</w:t>
            </w:r>
            <w:r>
              <w:rPr>
                <w:sz w:val="20"/>
                <w:lang w:val="en-US"/>
              </w:rPr>
              <w:t>: Promoting deployment and adoption of IPv6 to facilitate the transition from IPv4 to IPv6</w:t>
            </w:r>
          </w:p>
        </w:tc>
        <w:tc>
          <w:tcPr>
            <w:tcW w:w="4671" w:type="dxa"/>
          </w:tcPr>
          <w:p w14:paraId="7A717C69" w14:textId="77777777" w:rsidR="006321F1" w:rsidRDefault="006321F1" w:rsidP="006321F1">
            <w:pPr>
              <w:spacing w:after="120" w:line="276" w:lineRule="auto"/>
              <w:rPr>
                <w:rFonts w:cstheme="minorHAnsi"/>
                <w:sz w:val="20"/>
                <w:szCs w:val="20"/>
                <w:lang w:val="en-GB"/>
              </w:rPr>
            </w:pPr>
            <w:r w:rsidRPr="006321F1">
              <w:rPr>
                <w:rFonts w:cstheme="minorHAnsi"/>
                <w:sz w:val="20"/>
                <w:szCs w:val="20"/>
                <w:lang w:val="en-GB"/>
              </w:rPr>
              <w:t>T</w:t>
            </w:r>
            <w:r w:rsidR="007A0313" w:rsidRPr="006321F1">
              <w:rPr>
                <w:rFonts w:cstheme="minorHAnsi"/>
                <w:sz w:val="20"/>
                <w:szCs w:val="20"/>
                <w:lang w:val="en-GB"/>
              </w:rPr>
              <w:t xml:space="preserve">he biggest issue was the different between transition and deployment used in IPv6. There was extensive discussion about the RIR issue in Africa (indirectly) and also about the usefulness of multistakeholderism from the African region. In the end,  new language on the private sector and investment, connectivity, </w:t>
            </w:r>
            <w:r w:rsidR="007A0313" w:rsidRPr="006321F1">
              <w:rPr>
                <w:rFonts w:cstheme="minorHAnsi"/>
                <w:sz w:val="20"/>
                <w:szCs w:val="20"/>
                <w:lang w:val="en-GB"/>
              </w:rPr>
              <w:lastRenderedPageBreak/>
              <w:t>multistakeholderism, best practices and fostering an enabling environment. Also new language on encouraging governments to run their websites on IPv6.</w:t>
            </w:r>
          </w:p>
          <w:p w14:paraId="3B5E3FA2" w14:textId="6EBECFC3" w:rsidR="00113F4A" w:rsidRPr="006321F1" w:rsidRDefault="006321F1" w:rsidP="006321F1">
            <w:pPr>
              <w:spacing w:after="120" w:line="276" w:lineRule="auto"/>
              <w:rPr>
                <w:rFonts w:cstheme="minorHAnsi"/>
                <w:sz w:val="20"/>
                <w:szCs w:val="20"/>
                <w:lang w:val="en-GB"/>
              </w:rPr>
            </w:pPr>
            <w:r w:rsidRPr="004A75FB">
              <w:rPr>
                <w:rFonts w:cstheme="minorHAnsi"/>
                <w:sz w:val="20"/>
                <w:szCs w:val="20"/>
                <w:u w:val="single"/>
                <w:lang w:val="en-GB"/>
              </w:rPr>
              <w:t>Next steps: discussion will continue in CWG-Internet</w:t>
            </w:r>
          </w:p>
        </w:tc>
      </w:tr>
      <w:tr w:rsidR="00113F4A" w14:paraId="1C9CE72C" w14:textId="77777777" w:rsidTr="00671DB6">
        <w:tc>
          <w:tcPr>
            <w:tcW w:w="1271" w:type="dxa"/>
          </w:tcPr>
          <w:p w14:paraId="2E5C1E29" w14:textId="5AECD497" w:rsidR="00113F4A" w:rsidRDefault="00113F4A" w:rsidP="00113F4A">
            <w:pPr>
              <w:spacing w:after="120" w:line="276" w:lineRule="auto"/>
              <w:rPr>
                <w:rFonts w:cstheme="minorHAnsi"/>
                <w:b/>
                <w:bCs/>
                <w:sz w:val="24"/>
                <w:szCs w:val="24"/>
                <w:lang w:val="en-GB"/>
              </w:rPr>
            </w:pPr>
            <w:r>
              <w:rPr>
                <w:sz w:val="20"/>
                <w:lang w:val="en-US"/>
              </w:rPr>
              <w:lastRenderedPageBreak/>
              <w:t>ECP 7</w:t>
            </w:r>
          </w:p>
        </w:tc>
        <w:tc>
          <w:tcPr>
            <w:tcW w:w="3686" w:type="dxa"/>
          </w:tcPr>
          <w:p w14:paraId="1EFDE5A3" w14:textId="4AA485BD" w:rsidR="00113F4A" w:rsidRDefault="00113F4A" w:rsidP="00113F4A">
            <w:pPr>
              <w:spacing w:after="120" w:line="276" w:lineRule="auto"/>
              <w:rPr>
                <w:rFonts w:cstheme="minorHAnsi"/>
                <w:b/>
                <w:bCs/>
                <w:sz w:val="24"/>
                <w:szCs w:val="24"/>
                <w:lang w:val="en-GB"/>
              </w:rPr>
            </w:pPr>
            <w:r>
              <w:rPr>
                <w:b/>
                <w:bCs/>
                <w:sz w:val="20"/>
                <w:lang w:val="en-US"/>
              </w:rPr>
              <w:t>Revision to Resolution 130</w:t>
            </w:r>
            <w:r>
              <w:rPr>
                <w:sz w:val="20"/>
                <w:lang w:val="en-US"/>
              </w:rPr>
              <w:t>: Strengthening the role of ITU in building confidence and security in the use of information and communication technologies</w:t>
            </w:r>
          </w:p>
        </w:tc>
        <w:tc>
          <w:tcPr>
            <w:tcW w:w="4671" w:type="dxa"/>
          </w:tcPr>
          <w:p w14:paraId="2620B697" w14:textId="078505A1" w:rsidR="004E30BE" w:rsidRDefault="00A3028A" w:rsidP="004E30BE">
            <w:pPr>
              <w:spacing w:after="120" w:line="276" w:lineRule="auto"/>
              <w:rPr>
                <w:rFonts w:cstheme="minorHAnsi"/>
                <w:sz w:val="20"/>
                <w:szCs w:val="20"/>
                <w:lang w:val="en-GB"/>
              </w:rPr>
            </w:pPr>
            <w:r>
              <w:rPr>
                <w:rFonts w:cstheme="minorHAnsi"/>
                <w:sz w:val="20"/>
                <w:szCs w:val="20"/>
                <w:lang w:val="en-GB"/>
              </w:rPr>
              <w:t xml:space="preserve">Most of the ECP </w:t>
            </w:r>
            <w:r w:rsidR="004E30BE">
              <w:rPr>
                <w:rFonts w:cstheme="minorHAnsi"/>
                <w:sz w:val="20"/>
                <w:szCs w:val="20"/>
                <w:lang w:val="en-GB"/>
              </w:rPr>
              <w:t xml:space="preserve">proposal was secured, including </w:t>
            </w:r>
            <w:r w:rsidR="004E30BE" w:rsidRPr="004E30BE">
              <w:rPr>
                <w:rFonts w:cstheme="minorHAnsi"/>
                <w:sz w:val="20"/>
                <w:szCs w:val="20"/>
                <w:lang w:val="en-GB"/>
              </w:rPr>
              <w:t>resolving to continue the ITU's Global Network Resiliency Platform, to promote the importance of effective qualifications and career pathways in cyber security</w:t>
            </w:r>
            <w:r w:rsidR="004E30BE">
              <w:rPr>
                <w:rFonts w:cstheme="minorHAnsi"/>
                <w:sz w:val="20"/>
                <w:szCs w:val="20"/>
                <w:lang w:val="en-GB"/>
              </w:rPr>
              <w:t xml:space="preserve">, </w:t>
            </w:r>
            <w:r w:rsidR="004E30BE" w:rsidRPr="004E30BE">
              <w:rPr>
                <w:rFonts w:cstheme="minorHAnsi"/>
                <w:sz w:val="20"/>
                <w:szCs w:val="20"/>
                <w:lang w:val="en-GB"/>
              </w:rPr>
              <w:t>instructing the ITU to promote the employment of women in cyber security</w:t>
            </w:r>
            <w:r w:rsidR="00A652D4">
              <w:rPr>
                <w:rFonts w:cstheme="minorHAnsi"/>
                <w:sz w:val="20"/>
                <w:szCs w:val="20"/>
                <w:lang w:val="en-GB"/>
              </w:rPr>
              <w:t>,</w:t>
            </w:r>
            <w:r w:rsidR="004E30BE" w:rsidRPr="004E30BE">
              <w:rPr>
                <w:rFonts w:cstheme="minorHAnsi"/>
                <w:sz w:val="20"/>
                <w:szCs w:val="20"/>
                <w:lang w:val="en-GB"/>
              </w:rPr>
              <w:t xml:space="preserve"> an emphasis throughout the resolution on capacity building</w:t>
            </w:r>
            <w:r w:rsidR="00A652D4">
              <w:rPr>
                <w:rFonts w:cstheme="minorHAnsi"/>
                <w:sz w:val="20"/>
                <w:szCs w:val="20"/>
                <w:lang w:val="en-GB"/>
              </w:rPr>
              <w:t>,</w:t>
            </w:r>
            <w:r w:rsidR="004E30BE" w:rsidRPr="004E30BE">
              <w:rPr>
                <w:rFonts w:cstheme="minorHAnsi"/>
                <w:sz w:val="20"/>
                <w:szCs w:val="20"/>
                <w:lang w:val="en-GB"/>
              </w:rPr>
              <w:t xml:space="preserve"> new instructions on promoting cyber-hygiene</w:t>
            </w:r>
            <w:r w:rsidR="00A652D4">
              <w:rPr>
                <w:rFonts w:cstheme="minorHAnsi"/>
                <w:sz w:val="20"/>
                <w:szCs w:val="20"/>
                <w:lang w:val="en-GB"/>
              </w:rPr>
              <w:t>,</w:t>
            </w:r>
            <w:r w:rsidR="004E30BE" w:rsidRPr="004E30BE">
              <w:rPr>
                <w:rFonts w:cstheme="minorHAnsi"/>
                <w:sz w:val="20"/>
                <w:szCs w:val="20"/>
                <w:lang w:val="en-GB"/>
              </w:rPr>
              <w:t xml:space="preserve"> </w:t>
            </w:r>
            <w:r w:rsidR="00A652D4">
              <w:rPr>
                <w:rFonts w:cstheme="minorHAnsi"/>
                <w:sz w:val="20"/>
                <w:szCs w:val="20"/>
                <w:lang w:val="en-GB"/>
              </w:rPr>
              <w:t xml:space="preserve">and on </w:t>
            </w:r>
            <w:r w:rsidR="004E30BE" w:rsidRPr="004E30BE">
              <w:rPr>
                <w:rFonts w:cstheme="minorHAnsi"/>
                <w:sz w:val="20"/>
                <w:szCs w:val="20"/>
                <w:lang w:val="en-GB"/>
              </w:rPr>
              <w:t>raising awareness</w:t>
            </w:r>
            <w:r w:rsidR="00AB001D">
              <w:rPr>
                <w:rFonts w:cstheme="minorHAnsi"/>
                <w:sz w:val="20"/>
                <w:szCs w:val="20"/>
                <w:lang w:val="en-GB"/>
              </w:rPr>
              <w:t>.</w:t>
            </w:r>
            <w:r w:rsidR="004E30BE" w:rsidRPr="004E30BE">
              <w:rPr>
                <w:rFonts w:cstheme="minorHAnsi"/>
                <w:sz w:val="20"/>
                <w:szCs w:val="20"/>
                <w:lang w:val="en-GB"/>
              </w:rPr>
              <w:t xml:space="preserve"> </w:t>
            </w:r>
          </w:p>
          <w:p w14:paraId="0D5F506C" w14:textId="3F31D8BE" w:rsidR="00113F4A" w:rsidRPr="00261B52" w:rsidRDefault="00DA3E9E" w:rsidP="00113F4A">
            <w:pPr>
              <w:spacing w:after="120" w:line="276" w:lineRule="auto"/>
              <w:rPr>
                <w:rFonts w:cstheme="minorHAnsi"/>
                <w:sz w:val="20"/>
                <w:szCs w:val="20"/>
                <w:u w:val="single"/>
                <w:lang w:val="en-GB"/>
              </w:rPr>
            </w:pPr>
            <w:r w:rsidRPr="00261B52">
              <w:rPr>
                <w:rFonts w:cstheme="minorHAnsi"/>
                <w:sz w:val="20"/>
                <w:szCs w:val="20"/>
                <w:u w:val="single"/>
                <w:lang w:val="en-GB"/>
              </w:rPr>
              <w:t>Next steps: Council will consider contributions from MS</w:t>
            </w:r>
            <w:r w:rsidR="00261B52" w:rsidRPr="00261B52">
              <w:rPr>
                <w:rFonts w:cstheme="minorHAnsi"/>
                <w:sz w:val="20"/>
                <w:szCs w:val="20"/>
                <w:u w:val="single"/>
                <w:lang w:val="en-GB"/>
              </w:rPr>
              <w:t xml:space="preserve"> on the subject of the GCA. </w:t>
            </w:r>
          </w:p>
        </w:tc>
      </w:tr>
      <w:tr w:rsidR="00113F4A" w14:paraId="671C209B" w14:textId="77777777" w:rsidTr="00671DB6">
        <w:tc>
          <w:tcPr>
            <w:tcW w:w="1271" w:type="dxa"/>
          </w:tcPr>
          <w:p w14:paraId="4A5D55B4" w14:textId="24AB8F2F" w:rsidR="00113F4A" w:rsidRDefault="00113F4A" w:rsidP="00113F4A">
            <w:pPr>
              <w:spacing w:after="120" w:line="276" w:lineRule="auto"/>
              <w:rPr>
                <w:rFonts w:cstheme="minorHAnsi"/>
                <w:b/>
                <w:bCs/>
                <w:sz w:val="24"/>
                <w:szCs w:val="24"/>
                <w:lang w:val="en-GB"/>
              </w:rPr>
            </w:pPr>
            <w:r>
              <w:rPr>
                <w:rFonts w:cs="Calibri"/>
                <w:sz w:val="20"/>
                <w:lang w:val="en-US"/>
              </w:rPr>
              <w:t>ECP 8</w:t>
            </w:r>
          </w:p>
        </w:tc>
        <w:tc>
          <w:tcPr>
            <w:tcW w:w="3686" w:type="dxa"/>
          </w:tcPr>
          <w:p w14:paraId="79ADC89B" w14:textId="64A0CAA6" w:rsidR="00113F4A" w:rsidRDefault="00113F4A" w:rsidP="00113F4A">
            <w:pPr>
              <w:spacing w:after="120" w:line="276" w:lineRule="auto"/>
              <w:rPr>
                <w:rFonts w:cstheme="minorHAnsi"/>
                <w:b/>
                <w:bCs/>
                <w:sz w:val="24"/>
                <w:szCs w:val="24"/>
                <w:lang w:val="en-GB"/>
              </w:rPr>
            </w:pPr>
            <w:r>
              <w:rPr>
                <w:rFonts w:cstheme="minorHAnsi"/>
                <w:b/>
                <w:bCs/>
                <w:sz w:val="20"/>
                <w:lang w:val="en-US" w:eastAsia="sv-SE"/>
              </w:rPr>
              <w:t xml:space="preserve">Resolution 162 (REV. BUSAN, 2014): </w:t>
            </w:r>
            <w:r>
              <w:rPr>
                <w:rFonts w:cstheme="minorHAnsi"/>
                <w:sz w:val="20"/>
                <w:lang w:val="en-US" w:eastAsia="sv-SE"/>
              </w:rPr>
              <w:t>Independent management advisory committee</w:t>
            </w:r>
          </w:p>
        </w:tc>
        <w:tc>
          <w:tcPr>
            <w:tcW w:w="4671" w:type="dxa"/>
          </w:tcPr>
          <w:p w14:paraId="1AF5E9EE" w14:textId="36033FC9" w:rsidR="00113F4A" w:rsidRPr="00547A79" w:rsidRDefault="00547A79" w:rsidP="00113F4A">
            <w:pPr>
              <w:spacing w:after="120" w:line="276" w:lineRule="auto"/>
              <w:rPr>
                <w:rFonts w:cstheme="minorHAnsi"/>
                <w:sz w:val="20"/>
                <w:szCs w:val="20"/>
                <w:lang w:val="en-GB"/>
              </w:rPr>
            </w:pPr>
            <w:r w:rsidRPr="00547A79">
              <w:rPr>
                <w:rFonts w:cstheme="minorHAnsi"/>
                <w:sz w:val="20"/>
                <w:szCs w:val="20"/>
                <w:lang w:val="en-GB"/>
              </w:rPr>
              <w:t>ECP proposals reflected in IMAC responsibilities</w:t>
            </w:r>
            <w:r w:rsidR="005438FA">
              <w:rPr>
                <w:rFonts w:cstheme="minorHAnsi"/>
                <w:sz w:val="20"/>
                <w:szCs w:val="20"/>
                <w:lang w:val="en-GB"/>
              </w:rPr>
              <w:t xml:space="preserve"> in ToR</w:t>
            </w:r>
            <w:r w:rsidRPr="00547A79">
              <w:rPr>
                <w:rFonts w:cstheme="minorHAnsi"/>
                <w:sz w:val="20"/>
                <w:szCs w:val="20"/>
                <w:lang w:val="en-GB"/>
              </w:rPr>
              <w:t xml:space="preserve">. </w:t>
            </w:r>
          </w:p>
        </w:tc>
      </w:tr>
      <w:tr w:rsidR="00113F4A" w14:paraId="2A2E6AC2" w14:textId="77777777" w:rsidTr="00671DB6">
        <w:tc>
          <w:tcPr>
            <w:tcW w:w="1271" w:type="dxa"/>
          </w:tcPr>
          <w:p w14:paraId="3D1BCFA6" w14:textId="078B3493" w:rsidR="00113F4A" w:rsidRDefault="00113F4A" w:rsidP="00113F4A">
            <w:pPr>
              <w:spacing w:after="120" w:line="276" w:lineRule="auto"/>
              <w:rPr>
                <w:rFonts w:cstheme="minorHAnsi"/>
                <w:b/>
                <w:bCs/>
                <w:sz w:val="24"/>
                <w:szCs w:val="24"/>
                <w:lang w:val="en-GB"/>
              </w:rPr>
            </w:pPr>
            <w:r>
              <w:rPr>
                <w:rFonts w:cs="Calibri"/>
                <w:sz w:val="20"/>
                <w:lang w:val="en-US"/>
              </w:rPr>
              <w:t>ECP 9</w:t>
            </w:r>
          </w:p>
        </w:tc>
        <w:tc>
          <w:tcPr>
            <w:tcW w:w="3686" w:type="dxa"/>
          </w:tcPr>
          <w:p w14:paraId="6EF9D803" w14:textId="026C9EF5" w:rsidR="00113F4A" w:rsidRDefault="00113F4A" w:rsidP="00113F4A">
            <w:pPr>
              <w:spacing w:after="120" w:line="276" w:lineRule="auto"/>
              <w:rPr>
                <w:rFonts w:cstheme="minorHAnsi"/>
                <w:b/>
                <w:bCs/>
                <w:sz w:val="24"/>
                <w:szCs w:val="24"/>
                <w:lang w:val="en-GB"/>
              </w:rPr>
            </w:pPr>
            <w:r>
              <w:rPr>
                <w:rFonts w:cstheme="minorHAnsi"/>
                <w:b/>
                <w:bCs/>
                <w:sz w:val="20"/>
                <w:lang w:val="en-US" w:eastAsia="sv-SE"/>
              </w:rPr>
              <w:t xml:space="preserve">Resolution 167 (REV. DUBAI, 2018): </w:t>
            </w:r>
            <w:r>
              <w:rPr>
                <w:rFonts w:cstheme="minorHAnsi"/>
                <w:sz w:val="20"/>
                <w:lang w:val="en-US" w:eastAsia="sv-SE"/>
              </w:rPr>
              <w:t>Strengthening and developing ITU capabilities for electronic meetings and means to advance the work of the Union</w:t>
            </w:r>
          </w:p>
        </w:tc>
        <w:tc>
          <w:tcPr>
            <w:tcW w:w="4671" w:type="dxa"/>
          </w:tcPr>
          <w:p w14:paraId="7F4F5C3C" w14:textId="77777777" w:rsidR="00113F4A" w:rsidRDefault="00A17896" w:rsidP="00113F4A">
            <w:pPr>
              <w:spacing w:after="120" w:line="276" w:lineRule="auto"/>
              <w:rPr>
                <w:rFonts w:cstheme="minorHAnsi"/>
                <w:sz w:val="20"/>
                <w:szCs w:val="20"/>
                <w:lang w:val="en-GB"/>
              </w:rPr>
            </w:pPr>
            <w:r>
              <w:rPr>
                <w:rFonts w:cstheme="minorHAnsi"/>
                <w:sz w:val="20"/>
                <w:szCs w:val="20"/>
                <w:lang w:val="en-GB"/>
              </w:rPr>
              <w:t>ECP proposals were successfully reflected: approach is now t</w:t>
            </w:r>
            <w:r w:rsidR="001069D9" w:rsidRPr="001069D9">
              <w:rPr>
                <w:rFonts w:cstheme="minorHAnsi"/>
                <w:sz w:val="20"/>
                <w:szCs w:val="20"/>
                <w:lang w:val="en-GB"/>
              </w:rPr>
              <w:t xml:space="preserve">o agree a set of Guidelines in an Annex from which Council is required to develop a high-level Framework for the management and governance of virtual and physical meetings with remote participation. These would apply to all Sectors albeit still allowing some flexibility to cater for their specific circumstances.   </w:t>
            </w:r>
          </w:p>
          <w:p w14:paraId="01E0DA96" w14:textId="61A69032" w:rsidR="003F3306" w:rsidRPr="00017D2A" w:rsidRDefault="003F3306" w:rsidP="00113F4A">
            <w:pPr>
              <w:spacing w:after="120" w:line="276" w:lineRule="auto"/>
              <w:rPr>
                <w:rFonts w:cstheme="minorHAnsi"/>
                <w:sz w:val="20"/>
                <w:szCs w:val="20"/>
                <w:u w:val="single"/>
                <w:lang w:val="en-GB"/>
              </w:rPr>
            </w:pPr>
            <w:r w:rsidRPr="00017D2A">
              <w:rPr>
                <w:rFonts w:cstheme="minorHAnsi"/>
                <w:sz w:val="20"/>
                <w:szCs w:val="20"/>
                <w:u w:val="single"/>
                <w:lang w:val="en-GB"/>
              </w:rPr>
              <w:t xml:space="preserve">Next steps: </w:t>
            </w:r>
            <w:r w:rsidR="00017D2A" w:rsidRPr="00017D2A">
              <w:rPr>
                <w:rFonts w:cstheme="minorHAnsi"/>
                <w:sz w:val="20"/>
                <w:szCs w:val="20"/>
                <w:u w:val="single"/>
                <w:lang w:val="en-GB"/>
              </w:rPr>
              <w:t>guidelines at Council</w:t>
            </w:r>
          </w:p>
        </w:tc>
      </w:tr>
      <w:tr w:rsidR="00113F4A" w14:paraId="6CB791BC" w14:textId="77777777" w:rsidTr="00671DB6">
        <w:tc>
          <w:tcPr>
            <w:tcW w:w="1271" w:type="dxa"/>
          </w:tcPr>
          <w:p w14:paraId="51C26C25" w14:textId="1C1ACF49" w:rsidR="00113F4A" w:rsidRDefault="00113F4A" w:rsidP="00113F4A">
            <w:pPr>
              <w:spacing w:after="120" w:line="276" w:lineRule="auto"/>
              <w:rPr>
                <w:rFonts w:cstheme="minorHAnsi"/>
                <w:b/>
                <w:bCs/>
                <w:sz w:val="24"/>
                <w:szCs w:val="24"/>
                <w:lang w:val="en-GB"/>
              </w:rPr>
            </w:pPr>
            <w:r>
              <w:rPr>
                <w:rFonts w:cs="Calibri"/>
                <w:sz w:val="20"/>
                <w:lang w:val="en-US"/>
              </w:rPr>
              <w:t>ECP 10</w:t>
            </w:r>
          </w:p>
        </w:tc>
        <w:tc>
          <w:tcPr>
            <w:tcW w:w="3686" w:type="dxa"/>
          </w:tcPr>
          <w:p w14:paraId="2ABBA5DA" w14:textId="4B8ED26D" w:rsidR="00113F4A" w:rsidRDefault="00113F4A" w:rsidP="00113F4A">
            <w:pPr>
              <w:spacing w:after="120" w:line="276" w:lineRule="auto"/>
              <w:rPr>
                <w:rFonts w:cstheme="minorHAnsi"/>
                <w:b/>
                <w:bCs/>
                <w:sz w:val="24"/>
                <w:szCs w:val="24"/>
                <w:lang w:val="en-GB"/>
              </w:rPr>
            </w:pPr>
            <w:r>
              <w:rPr>
                <w:rFonts w:cstheme="minorHAnsi"/>
                <w:b/>
                <w:bCs/>
                <w:sz w:val="20"/>
                <w:lang w:val="en-US" w:eastAsia="sv-SE"/>
              </w:rPr>
              <w:t xml:space="preserve">Resolution 177 (REV. DUBAI, 2018): </w:t>
            </w:r>
            <w:r>
              <w:rPr>
                <w:rFonts w:cstheme="minorHAnsi"/>
                <w:sz w:val="20"/>
                <w:lang w:val="en-US" w:eastAsia="sv-SE"/>
              </w:rPr>
              <w:t>Conformance and interoperability</w:t>
            </w:r>
          </w:p>
        </w:tc>
        <w:tc>
          <w:tcPr>
            <w:tcW w:w="4671" w:type="dxa"/>
          </w:tcPr>
          <w:p w14:paraId="643BDC57" w14:textId="1A6E5C61" w:rsidR="00131957" w:rsidRDefault="00131957" w:rsidP="00131957">
            <w:pPr>
              <w:spacing w:after="120" w:line="276" w:lineRule="auto"/>
              <w:rPr>
                <w:rFonts w:cstheme="minorHAnsi"/>
                <w:sz w:val="20"/>
                <w:szCs w:val="20"/>
                <w:lang w:val="en-GB"/>
              </w:rPr>
            </w:pPr>
            <w:r>
              <w:rPr>
                <w:rFonts w:cstheme="minorHAnsi"/>
                <w:sz w:val="20"/>
                <w:szCs w:val="20"/>
                <w:lang w:val="en-GB"/>
              </w:rPr>
              <w:t xml:space="preserve">Resolution was modified </w:t>
            </w:r>
            <w:r w:rsidRPr="00131957">
              <w:rPr>
                <w:rFonts w:cstheme="minorHAnsi"/>
                <w:sz w:val="20"/>
                <w:szCs w:val="20"/>
                <w:lang w:val="en-GB"/>
              </w:rPr>
              <w:t xml:space="preserve">to reflect developments </w:t>
            </w:r>
            <w:r w:rsidR="003F3306">
              <w:rPr>
                <w:rFonts w:cstheme="minorHAnsi"/>
                <w:sz w:val="20"/>
                <w:szCs w:val="20"/>
                <w:lang w:val="en-GB"/>
              </w:rPr>
              <w:t xml:space="preserve">in </w:t>
            </w:r>
            <w:r w:rsidRPr="00131957">
              <w:rPr>
                <w:rFonts w:cstheme="minorHAnsi"/>
                <w:sz w:val="20"/>
                <w:szCs w:val="20"/>
                <w:lang w:val="en-GB"/>
              </w:rPr>
              <w:t>C&amp;I in ITU SG 11 since PP-18. In addition, a new instructs the Director was added</w:t>
            </w:r>
            <w:r w:rsidR="003F3306">
              <w:rPr>
                <w:rFonts w:cstheme="minorHAnsi"/>
                <w:sz w:val="20"/>
                <w:szCs w:val="20"/>
                <w:lang w:val="en-GB"/>
              </w:rPr>
              <w:t>.</w:t>
            </w:r>
          </w:p>
          <w:p w14:paraId="7BD670F0" w14:textId="39EE733B" w:rsidR="00113F4A" w:rsidRPr="003F3306" w:rsidRDefault="003F3306" w:rsidP="00131957">
            <w:pPr>
              <w:spacing w:after="120" w:line="276" w:lineRule="auto"/>
              <w:rPr>
                <w:rFonts w:cstheme="minorHAnsi"/>
                <w:sz w:val="20"/>
                <w:szCs w:val="20"/>
                <w:u w:val="single"/>
                <w:lang w:val="en-GB"/>
              </w:rPr>
            </w:pPr>
            <w:r w:rsidRPr="003F3306">
              <w:rPr>
                <w:rFonts w:cstheme="minorHAnsi"/>
                <w:sz w:val="20"/>
                <w:szCs w:val="20"/>
                <w:u w:val="single"/>
                <w:lang w:val="en-GB"/>
              </w:rPr>
              <w:t>Next steps: outcome to be reported to next PP</w:t>
            </w:r>
          </w:p>
        </w:tc>
      </w:tr>
      <w:tr w:rsidR="00113F4A" w14:paraId="3E691BFF" w14:textId="77777777" w:rsidTr="00671DB6">
        <w:tc>
          <w:tcPr>
            <w:tcW w:w="1271" w:type="dxa"/>
          </w:tcPr>
          <w:p w14:paraId="595EBE86" w14:textId="412B8533" w:rsidR="00113F4A" w:rsidRDefault="00113F4A" w:rsidP="00113F4A">
            <w:pPr>
              <w:spacing w:after="120" w:line="276" w:lineRule="auto"/>
              <w:rPr>
                <w:rFonts w:cstheme="minorHAnsi"/>
                <w:b/>
                <w:bCs/>
                <w:sz w:val="24"/>
                <w:szCs w:val="24"/>
                <w:lang w:val="en-GB"/>
              </w:rPr>
            </w:pPr>
            <w:r>
              <w:rPr>
                <w:rFonts w:cs="Calibri"/>
                <w:sz w:val="20"/>
                <w:lang w:val="en-US"/>
              </w:rPr>
              <w:t>ECP 13</w:t>
            </w:r>
          </w:p>
        </w:tc>
        <w:tc>
          <w:tcPr>
            <w:tcW w:w="3686" w:type="dxa"/>
          </w:tcPr>
          <w:p w14:paraId="22C003CE" w14:textId="3DA1DB0E" w:rsidR="00113F4A" w:rsidRDefault="00113F4A" w:rsidP="00113F4A">
            <w:pPr>
              <w:spacing w:after="120" w:line="276" w:lineRule="auto"/>
              <w:rPr>
                <w:rFonts w:cstheme="minorHAnsi"/>
                <w:b/>
                <w:bCs/>
                <w:sz w:val="24"/>
                <w:szCs w:val="24"/>
                <w:lang w:val="en-GB"/>
              </w:rPr>
            </w:pPr>
            <w:r>
              <w:rPr>
                <w:rFonts w:cstheme="minorHAnsi"/>
                <w:b/>
                <w:bCs/>
                <w:sz w:val="20"/>
                <w:lang w:val="en-US" w:eastAsia="sv-SE"/>
              </w:rPr>
              <w:t xml:space="preserve">Resolution 119 (REV. ANTALYA, 2006): </w:t>
            </w:r>
            <w:r>
              <w:rPr>
                <w:rFonts w:cstheme="minorHAnsi"/>
                <w:sz w:val="20"/>
                <w:lang w:val="en-US" w:eastAsia="sv-SE"/>
              </w:rPr>
              <w:t>Methods to improve the efficiency and effectiveness of the Radio Regulations Board</w:t>
            </w:r>
          </w:p>
        </w:tc>
        <w:tc>
          <w:tcPr>
            <w:tcW w:w="4671" w:type="dxa"/>
          </w:tcPr>
          <w:p w14:paraId="3B5EC99B" w14:textId="134B67CE" w:rsidR="00113F4A" w:rsidRPr="00985635" w:rsidRDefault="00985635" w:rsidP="00113F4A">
            <w:pPr>
              <w:spacing w:after="120" w:line="276" w:lineRule="auto"/>
              <w:rPr>
                <w:rFonts w:cstheme="minorHAnsi"/>
                <w:sz w:val="20"/>
                <w:szCs w:val="20"/>
                <w:lang w:val="en-GB"/>
              </w:rPr>
            </w:pPr>
            <w:r>
              <w:rPr>
                <w:rFonts w:cstheme="minorHAnsi"/>
                <w:sz w:val="20"/>
                <w:szCs w:val="20"/>
                <w:lang w:val="en-GB"/>
              </w:rPr>
              <w:t>ECP proposals were not agreed, but s</w:t>
            </w:r>
            <w:r w:rsidRPr="00985635">
              <w:rPr>
                <w:rFonts w:cstheme="minorHAnsi"/>
                <w:sz w:val="20"/>
                <w:szCs w:val="20"/>
                <w:lang w:val="en-GB"/>
              </w:rPr>
              <w:t xml:space="preserve">ome less definitive changes were made to the Resolution and text was added to the Plenary meeting minutes that reflected on the public interest in some of the decisions made by the RRB. </w:t>
            </w:r>
            <w:r>
              <w:rPr>
                <w:rFonts w:cstheme="minorHAnsi"/>
                <w:sz w:val="20"/>
                <w:szCs w:val="20"/>
                <w:lang w:val="en-GB"/>
              </w:rPr>
              <w:t xml:space="preserve">These largely achieve the purpose of our proposed </w:t>
            </w:r>
            <w:r w:rsidR="00027298">
              <w:rPr>
                <w:rFonts w:cstheme="minorHAnsi"/>
                <w:sz w:val="20"/>
                <w:szCs w:val="20"/>
                <w:lang w:val="en-GB"/>
              </w:rPr>
              <w:t xml:space="preserve">changes. </w:t>
            </w:r>
          </w:p>
        </w:tc>
      </w:tr>
      <w:tr w:rsidR="00113F4A" w14:paraId="20E018BF" w14:textId="77777777" w:rsidTr="00671DB6">
        <w:tc>
          <w:tcPr>
            <w:tcW w:w="1271" w:type="dxa"/>
          </w:tcPr>
          <w:p w14:paraId="6163D38F" w14:textId="055D86A6" w:rsidR="00113F4A" w:rsidRDefault="00113F4A" w:rsidP="00113F4A">
            <w:pPr>
              <w:spacing w:after="120" w:line="276" w:lineRule="auto"/>
              <w:rPr>
                <w:rFonts w:cstheme="minorHAnsi"/>
                <w:b/>
                <w:bCs/>
                <w:sz w:val="24"/>
                <w:szCs w:val="24"/>
                <w:lang w:val="en-GB"/>
              </w:rPr>
            </w:pPr>
            <w:r>
              <w:rPr>
                <w:rFonts w:cs="Calibri"/>
                <w:sz w:val="20"/>
                <w:lang w:val="en-US"/>
              </w:rPr>
              <w:t>ECP 14</w:t>
            </w:r>
          </w:p>
        </w:tc>
        <w:tc>
          <w:tcPr>
            <w:tcW w:w="3686" w:type="dxa"/>
          </w:tcPr>
          <w:p w14:paraId="4DB8118E" w14:textId="70034A9F" w:rsidR="00113F4A" w:rsidRDefault="00113F4A" w:rsidP="00113F4A">
            <w:pPr>
              <w:spacing w:after="120" w:line="276" w:lineRule="auto"/>
              <w:rPr>
                <w:rFonts w:cstheme="minorHAnsi"/>
                <w:b/>
                <w:bCs/>
                <w:sz w:val="24"/>
                <w:szCs w:val="24"/>
                <w:lang w:val="en-GB"/>
              </w:rPr>
            </w:pPr>
            <w:r>
              <w:rPr>
                <w:rFonts w:cstheme="minorHAnsi"/>
                <w:b/>
                <w:bCs/>
                <w:sz w:val="20"/>
                <w:lang w:val="en-US" w:eastAsia="sv-SE"/>
              </w:rPr>
              <w:t xml:space="preserve">Resolution 136 (REV. DUBAI, 2018): </w:t>
            </w:r>
            <w:r>
              <w:rPr>
                <w:rFonts w:cstheme="minorHAnsi"/>
                <w:sz w:val="20"/>
                <w:lang w:val="en-US" w:eastAsia="sv-SE"/>
              </w:rPr>
              <w:t xml:space="preserve">The use of telecommunications/information and communication technologies for humanitarian assistance and for monitoring and management in emergency and disaster situations, including health-related emergencies, for </w:t>
            </w:r>
            <w:r>
              <w:rPr>
                <w:rFonts w:cstheme="minorHAnsi"/>
                <w:sz w:val="20"/>
                <w:lang w:val="en-US" w:eastAsia="sv-SE"/>
              </w:rPr>
              <w:lastRenderedPageBreak/>
              <w:t>early warning, prevention, mitigation and relief</w:t>
            </w:r>
          </w:p>
        </w:tc>
        <w:tc>
          <w:tcPr>
            <w:tcW w:w="4671" w:type="dxa"/>
          </w:tcPr>
          <w:p w14:paraId="2986510D" w14:textId="2674D95F" w:rsidR="00113F4A" w:rsidRPr="00642E2B" w:rsidRDefault="00642E2B" w:rsidP="00113F4A">
            <w:pPr>
              <w:spacing w:after="120" w:line="276" w:lineRule="auto"/>
              <w:rPr>
                <w:rFonts w:cstheme="minorHAnsi"/>
                <w:sz w:val="20"/>
                <w:szCs w:val="20"/>
                <w:lang w:val="en-GB"/>
              </w:rPr>
            </w:pPr>
            <w:r w:rsidRPr="00642E2B">
              <w:rPr>
                <w:rFonts w:cstheme="minorHAnsi"/>
                <w:sz w:val="20"/>
                <w:szCs w:val="20"/>
                <w:lang w:val="en-GB"/>
              </w:rPr>
              <w:lastRenderedPageBreak/>
              <w:t>ECP was generally endorsed. The Resolution was revised highlighting the importance of undersea cables for early warning and disaster risk reduction, preparedness and response, including tsunami and earthquake early warning. The role of Joint Task Force (JTF) on SMART cable systems was also highlighted.</w:t>
            </w:r>
          </w:p>
        </w:tc>
      </w:tr>
      <w:tr w:rsidR="00113F4A" w14:paraId="515BC1A4" w14:textId="77777777" w:rsidTr="00671DB6">
        <w:tc>
          <w:tcPr>
            <w:tcW w:w="1271" w:type="dxa"/>
          </w:tcPr>
          <w:p w14:paraId="502213A1" w14:textId="49529811" w:rsidR="00113F4A" w:rsidRDefault="00113F4A" w:rsidP="00113F4A">
            <w:pPr>
              <w:spacing w:after="120" w:line="276" w:lineRule="auto"/>
              <w:rPr>
                <w:rFonts w:cstheme="minorHAnsi"/>
                <w:b/>
                <w:bCs/>
                <w:sz w:val="24"/>
                <w:szCs w:val="24"/>
                <w:lang w:val="en-GB"/>
              </w:rPr>
            </w:pPr>
            <w:r>
              <w:rPr>
                <w:rFonts w:cs="Calibri"/>
                <w:sz w:val="20"/>
                <w:lang w:val="en-US"/>
              </w:rPr>
              <w:t>ECP 15</w:t>
            </w:r>
          </w:p>
        </w:tc>
        <w:tc>
          <w:tcPr>
            <w:tcW w:w="3686" w:type="dxa"/>
          </w:tcPr>
          <w:p w14:paraId="4657E2D3" w14:textId="00A0AA02" w:rsidR="00113F4A" w:rsidRDefault="00113F4A" w:rsidP="00113F4A">
            <w:pPr>
              <w:spacing w:after="120" w:line="276" w:lineRule="auto"/>
              <w:rPr>
                <w:rFonts w:cstheme="minorHAnsi"/>
                <w:b/>
                <w:bCs/>
                <w:sz w:val="24"/>
                <w:szCs w:val="24"/>
                <w:lang w:val="en-GB"/>
              </w:rPr>
            </w:pPr>
            <w:r>
              <w:rPr>
                <w:rFonts w:cstheme="minorHAnsi"/>
                <w:b/>
                <w:bCs/>
                <w:sz w:val="20"/>
                <w:lang w:val="en-US" w:eastAsia="sv-SE"/>
              </w:rPr>
              <w:t xml:space="preserve">Resolution 137 (REV. DUBAI, 2018): </w:t>
            </w:r>
            <w:r>
              <w:rPr>
                <w:rFonts w:cstheme="minorHAnsi"/>
                <w:sz w:val="20"/>
                <w:lang w:val="en-US" w:eastAsia="sv-SE"/>
              </w:rPr>
              <w:t>Deployment of future networks in developing countries</w:t>
            </w:r>
          </w:p>
        </w:tc>
        <w:tc>
          <w:tcPr>
            <w:tcW w:w="4671" w:type="dxa"/>
          </w:tcPr>
          <w:p w14:paraId="34A5A29A" w14:textId="219D75AE" w:rsidR="00113F4A" w:rsidRPr="00AB3C7D" w:rsidRDefault="00943B5B" w:rsidP="00AB3C7D">
            <w:pPr>
              <w:spacing w:after="120" w:line="276" w:lineRule="auto"/>
              <w:rPr>
                <w:rFonts w:cstheme="minorHAnsi"/>
                <w:sz w:val="20"/>
                <w:szCs w:val="20"/>
                <w:lang w:val="en-GB"/>
              </w:rPr>
            </w:pPr>
            <w:r>
              <w:rPr>
                <w:rFonts w:cstheme="minorHAnsi"/>
                <w:sz w:val="20"/>
                <w:szCs w:val="20"/>
                <w:lang w:val="en-GB"/>
              </w:rPr>
              <w:t xml:space="preserve">CEPT proposals around </w:t>
            </w:r>
            <w:r w:rsidR="00CF15F4">
              <w:rPr>
                <w:rFonts w:cstheme="minorHAnsi"/>
                <w:sz w:val="20"/>
                <w:szCs w:val="20"/>
                <w:lang w:val="en-GB"/>
              </w:rPr>
              <w:t xml:space="preserve">some language were broadly accepted, and attempts to </w:t>
            </w:r>
            <w:r w:rsidRPr="00943B5B">
              <w:rPr>
                <w:rFonts w:cstheme="minorHAnsi"/>
                <w:sz w:val="20"/>
                <w:szCs w:val="20"/>
                <w:lang w:val="en-GB"/>
              </w:rPr>
              <w:t>recognise OpenRAN were diluted (as part of an overall compromise on the subject to get rid of a new resolution)</w:t>
            </w:r>
            <w:r w:rsidR="00CF15F4">
              <w:rPr>
                <w:rFonts w:cstheme="minorHAnsi"/>
                <w:sz w:val="20"/>
                <w:szCs w:val="20"/>
                <w:lang w:val="en-GB"/>
              </w:rPr>
              <w:t xml:space="preserve">. </w:t>
            </w:r>
            <w:r w:rsidRPr="00943B5B">
              <w:rPr>
                <w:rFonts w:cstheme="minorHAnsi"/>
                <w:sz w:val="20"/>
                <w:szCs w:val="20"/>
                <w:lang w:val="en-GB"/>
              </w:rPr>
              <w:t>No harmful proposals of the other regions were adopted either.</w:t>
            </w:r>
          </w:p>
        </w:tc>
      </w:tr>
      <w:tr w:rsidR="008D4976" w14:paraId="0FBF4C8B" w14:textId="77777777" w:rsidTr="00671DB6">
        <w:tc>
          <w:tcPr>
            <w:tcW w:w="1271" w:type="dxa"/>
          </w:tcPr>
          <w:p w14:paraId="4820864C" w14:textId="2EA6BC6F" w:rsidR="008D4976" w:rsidRDefault="008D4976" w:rsidP="008D4976">
            <w:pPr>
              <w:spacing w:after="120" w:line="276" w:lineRule="auto"/>
              <w:rPr>
                <w:rFonts w:cstheme="minorHAnsi"/>
                <w:b/>
                <w:bCs/>
                <w:sz w:val="24"/>
                <w:szCs w:val="24"/>
                <w:lang w:val="en-GB"/>
              </w:rPr>
            </w:pPr>
            <w:r>
              <w:rPr>
                <w:rFonts w:cs="Calibri"/>
                <w:sz w:val="20"/>
                <w:lang w:val="en-US"/>
              </w:rPr>
              <w:t>ECP 16</w:t>
            </w:r>
          </w:p>
        </w:tc>
        <w:tc>
          <w:tcPr>
            <w:tcW w:w="3686" w:type="dxa"/>
          </w:tcPr>
          <w:p w14:paraId="22CCE3A8" w14:textId="4D97C085"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139 (REV. DUBAI, 2018): </w:t>
            </w:r>
            <w:r>
              <w:rPr>
                <w:rFonts w:cstheme="minorHAnsi"/>
                <w:sz w:val="20"/>
                <w:lang w:val="en-US" w:eastAsia="sv-SE"/>
              </w:rPr>
              <w:t>Use of telecommunications/information and communication technologies to bridge the digital divide and build an inclusive information society</w:t>
            </w:r>
          </w:p>
        </w:tc>
        <w:tc>
          <w:tcPr>
            <w:tcW w:w="4671" w:type="dxa"/>
          </w:tcPr>
          <w:p w14:paraId="188D2691" w14:textId="77777777" w:rsidR="008D4976" w:rsidRPr="00AB3C7D" w:rsidRDefault="008D4976" w:rsidP="008D4976">
            <w:pPr>
              <w:spacing w:after="120" w:line="276" w:lineRule="auto"/>
              <w:rPr>
                <w:rFonts w:cstheme="minorHAnsi"/>
                <w:sz w:val="20"/>
                <w:szCs w:val="20"/>
                <w:lang w:val="en-GB"/>
              </w:rPr>
            </w:pPr>
            <w:r w:rsidRPr="00AB3C7D">
              <w:rPr>
                <w:rFonts w:cstheme="minorHAnsi"/>
                <w:sz w:val="20"/>
                <w:szCs w:val="20"/>
                <w:lang w:val="en-GB"/>
              </w:rPr>
              <w:t>Many of the proposed CEPT modifications to this resolution were accepted, including:</w:t>
            </w:r>
            <w:r>
              <w:rPr>
                <w:rFonts w:cstheme="minorHAnsi"/>
                <w:sz w:val="20"/>
                <w:szCs w:val="20"/>
                <w:lang w:val="en-GB"/>
              </w:rPr>
              <w:t xml:space="preserve"> </w:t>
            </w:r>
            <w:r w:rsidRPr="00AB3C7D">
              <w:rPr>
                <w:rFonts w:cstheme="minorHAnsi"/>
                <w:sz w:val="20"/>
                <w:szCs w:val="20"/>
                <w:lang w:val="en-GB"/>
              </w:rPr>
              <w:t>more specific language acknowledging the causes of the digital divide, with a particular focus on the problems of affordability and lack of digital skills</w:t>
            </w:r>
            <w:r>
              <w:rPr>
                <w:rFonts w:cstheme="minorHAnsi"/>
                <w:sz w:val="20"/>
                <w:szCs w:val="20"/>
                <w:lang w:val="en-GB"/>
              </w:rPr>
              <w:t xml:space="preserve">; </w:t>
            </w:r>
            <w:r w:rsidRPr="00AB3C7D">
              <w:rPr>
                <w:rFonts w:cstheme="minorHAnsi"/>
                <w:sz w:val="20"/>
                <w:szCs w:val="20"/>
                <w:lang w:val="en-GB"/>
              </w:rPr>
              <w:t>an increased focus on the challenges faced by developing countries, and a stronger ITU role to coordinate action to bridge the digital divide (including a clear instruction to make repositories of best practice more prominent on the ITU website than they are currently).</w:t>
            </w:r>
          </w:p>
          <w:p w14:paraId="294679E7" w14:textId="7A0D36FA" w:rsidR="008D4976" w:rsidRPr="00671DB6" w:rsidRDefault="008D4976" w:rsidP="008D4976">
            <w:pPr>
              <w:spacing w:after="120" w:line="276" w:lineRule="auto"/>
              <w:rPr>
                <w:rFonts w:cstheme="minorHAnsi"/>
                <w:b/>
                <w:bCs/>
                <w:sz w:val="20"/>
                <w:szCs w:val="20"/>
                <w:lang w:val="en-GB"/>
              </w:rPr>
            </w:pPr>
            <w:r w:rsidRPr="00AB3C7D">
              <w:rPr>
                <w:rFonts w:cstheme="minorHAnsi"/>
                <w:sz w:val="20"/>
                <w:szCs w:val="20"/>
                <w:lang w:val="en-GB"/>
              </w:rPr>
              <w:t>We were not successful in achieving a specific acknowledgment that certain social groups (including women and girls) are particularly badly affected by the digital divide, the resolution does indirectly acknowledge this by recalling WTDC resolution 37 which included a specific list of groups particularly affected by the digital divide.</w:t>
            </w:r>
          </w:p>
        </w:tc>
      </w:tr>
      <w:tr w:rsidR="008D4976" w14:paraId="0774666B" w14:textId="77777777" w:rsidTr="00671DB6">
        <w:tc>
          <w:tcPr>
            <w:tcW w:w="1271" w:type="dxa"/>
          </w:tcPr>
          <w:p w14:paraId="38E817C2" w14:textId="51C19D9F" w:rsidR="008D4976" w:rsidRDefault="008D4976" w:rsidP="008D4976">
            <w:pPr>
              <w:spacing w:after="120" w:line="276" w:lineRule="auto"/>
              <w:rPr>
                <w:rFonts w:cstheme="minorHAnsi"/>
                <w:b/>
                <w:bCs/>
                <w:sz w:val="24"/>
                <w:szCs w:val="24"/>
                <w:lang w:val="en-GB"/>
              </w:rPr>
            </w:pPr>
            <w:r>
              <w:rPr>
                <w:rFonts w:cs="Calibri"/>
                <w:sz w:val="20"/>
                <w:lang w:val="en-US"/>
              </w:rPr>
              <w:t>ECP 17</w:t>
            </w:r>
          </w:p>
        </w:tc>
        <w:tc>
          <w:tcPr>
            <w:tcW w:w="3686" w:type="dxa"/>
          </w:tcPr>
          <w:p w14:paraId="3AE44E36" w14:textId="0BC8C31E"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140 (REV. DUBAI, 2018): </w:t>
            </w:r>
            <w:r>
              <w:rPr>
                <w:rFonts w:cstheme="minorHAnsi"/>
                <w:sz w:val="20"/>
                <w:lang w:val="en-US" w:eastAsia="sv-SE"/>
              </w:rPr>
              <w:t>ITU's role in implementing the outcomes of the World Summit on the Information Society and the 2030 Agenda for Sustainable Development, as well as in their follow-up and review processes</w:t>
            </w:r>
          </w:p>
        </w:tc>
        <w:tc>
          <w:tcPr>
            <w:tcW w:w="4671" w:type="dxa"/>
          </w:tcPr>
          <w:p w14:paraId="63993433" w14:textId="60BBBBCD" w:rsidR="008D4976" w:rsidRPr="00F027E1" w:rsidRDefault="008D4976" w:rsidP="008D4976">
            <w:pPr>
              <w:spacing w:after="120" w:line="276" w:lineRule="auto"/>
              <w:rPr>
                <w:rFonts w:cstheme="minorHAnsi"/>
                <w:sz w:val="20"/>
                <w:szCs w:val="20"/>
                <w:lang w:val="en-GB"/>
              </w:rPr>
            </w:pPr>
            <w:r w:rsidRPr="00F027E1">
              <w:rPr>
                <w:rFonts w:cstheme="minorHAnsi"/>
                <w:sz w:val="20"/>
                <w:szCs w:val="20"/>
                <w:lang w:val="en-GB"/>
              </w:rPr>
              <w:t>The WSIS+20 is coming up in 2025 and there was much discussion and negotiation about the ITU’s role in that review process. On this resolution there was agreed new language on connecting the unconnected, infrastructure development through private investment, connecting marginalised and vulnerable and stakeholder involved in development and deployment was added. Language on the role of the ITU in the review was also added within its current mandate.</w:t>
            </w:r>
          </w:p>
        </w:tc>
      </w:tr>
      <w:tr w:rsidR="008D4976" w14:paraId="3A99DD5E" w14:textId="77777777" w:rsidTr="00671DB6">
        <w:tc>
          <w:tcPr>
            <w:tcW w:w="1271" w:type="dxa"/>
          </w:tcPr>
          <w:p w14:paraId="1789BAD7" w14:textId="2FF20E05" w:rsidR="008D4976" w:rsidRDefault="008D4976" w:rsidP="008D4976">
            <w:pPr>
              <w:spacing w:after="120" w:line="276" w:lineRule="auto"/>
              <w:rPr>
                <w:rFonts w:cstheme="minorHAnsi"/>
                <w:b/>
                <w:bCs/>
                <w:sz w:val="24"/>
                <w:szCs w:val="24"/>
                <w:lang w:val="en-GB"/>
              </w:rPr>
            </w:pPr>
            <w:r>
              <w:rPr>
                <w:rFonts w:cs="Calibri"/>
                <w:sz w:val="20"/>
                <w:lang w:val="en-US"/>
              </w:rPr>
              <w:t>ECP 18</w:t>
            </w:r>
          </w:p>
        </w:tc>
        <w:tc>
          <w:tcPr>
            <w:tcW w:w="3686" w:type="dxa"/>
          </w:tcPr>
          <w:p w14:paraId="19D184C7" w14:textId="7410B187"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146 (REV. DUBAI, 2018): </w:t>
            </w:r>
            <w:r>
              <w:rPr>
                <w:rFonts w:cstheme="minorHAnsi"/>
                <w:sz w:val="20"/>
                <w:lang w:val="en-US" w:eastAsia="sv-SE"/>
              </w:rPr>
              <w:t>Periodic review and revision of the International Telecommunication Regulations</w:t>
            </w:r>
          </w:p>
        </w:tc>
        <w:tc>
          <w:tcPr>
            <w:tcW w:w="4671" w:type="dxa"/>
          </w:tcPr>
          <w:p w14:paraId="15DF8263" w14:textId="560B6374" w:rsidR="008D4976" w:rsidRPr="00F027E1" w:rsidRDefault="008D4976" w:rsidP="008D4976">
            <w:pPr>
              <w:spacing w:after="120" w:line="276" w:lineRule="auto"/>
              <w:rPr>
                <w:rFonts w:cstheme="minorHAnsi"/>
                <w:sz w:val="20"/>
                <w:szCs w:val="20"/>
                <w:lang w:val="en-GB"/>
              </w:rPr>
            </w:pPr>
            <w:r w:rsidRPr="00F027E1">
              <w:rPr>
                <w:rFonts w:cstheme="minorHAnsi"/>
                <w:sz w:val="20"/>
                <w:szCs w:val="20"/>
                <w:lang w:val="en-GB"/>
              </w:rPr>
              <w:t>The work on ITRs will continue in the form of a Council working group. However, the ToRs, deliverables and its composition are for the next Council session (July 2023) to establish and approve. This outcome reflects the possible risk, if not continuing at this level, of calling for WCIT to be held. So this step is kind of a harm reduction. Moreover we can give a try to make it more meaningful this time trying to call for a case study approach, with an attempt to evaluate particulare cases (if any) when ITRs were used to mitigate any dispute between market players.</w:t>
            </w:r>
          </w:p>
        </w:tc>
      </w:tr>
      <w:tr w:rsidR="008D4976" w14:paraId="09826AC7" w14:textId="77777777" w:rsidTr="00671DB6">
        <w:tc>
          <w:tcPr>
            <w:tcW w:w="1271" w:type="dxa"/>
          </w:tcPr>
          <w:p w14:paraId="3BCE2AFA" w14:textId="3F776E78" w:rsidR="008D4976" w:rsidRDefault="008D4976" w:rsidP="008D4976">
            <w:pPr>
              <w:spacing w:after="120" w:line="276" w:lineRule="auto"/>
              <w:rPr>
                <w:rFonts w:cstheme="minorHAnsi"/>
                <w:b/>
                <w:bCs/>
                <w:sz w:val="24"/>
                <w:szCs w:val="24"/>
                <w:lang w:val="en-GB"/>
              </w:rPr>
            </w:pPr>
            <w:r>
              <w:rPr>
                <w:rFonts w:cs="Calibri"/>
                <w:sz w:val="20"/>
                <w:lang w:val="en-US"/>
              </w:rPr>
              <w:t>ECP 19</w:t>
            </w:r>
          </w:p>
        </w:tc>
        <w:tc>
          <w:tcPr>
            <w:tcW w:w="3686" w:type="dxa"/>
          </w:tcPr>
          <w:p w14:paraId="6F538BC3" w14:textId="63D5D71F"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175 (DUBAI, 2018): </w:t>
            </w:r>
            <w:r>
              <w:rPr>
                <w:rFonts w:cstheme="minorHAnsi"/>
                <w:sz w:val="20"/>
                <w:lang w:val="en-US" w:eastAsia="sv-SE"/>
              </w:rPr>
              <w:t xml:space="preserve">Telecommunication/information and </w:t>
            </w:r>
            <w:r>
              <w:rPr>
                <w:rFonts w:cstheme="minorHAnsi"/>
                <w:sz w:val="20"/>
                <w:lang w:val="en-US" w:eastAsia="sv-SE"/>
              </w:rPr>
              <w:lastRenderedPageBreak/>
              <w:t>communication technology accessibility for persons with disabilities and persons with specific needs</w:t>
            </w:r>
          </w:p>
        </w:tc>
        <w:tc>
          <w:tcPr>
            <w:tcW w:w="4671" w:type="dxa"/>
          </w:tcPr>
          <w:p w14:paraId="7325BAF6" w14:textId="3687C0AE" w:rsidR="008D4976" w:rsidRPr="0036465D" w:rsidRDefault="0036465D" w:rsidP="008D4976">
            <w:pPr>
              <w:spacing w:after="120" w:line="276" w:lineRule="auto"/>
              <w:rPr>
                <w:rFonts w:cstheme="minorHAnsi"/>
                <w:sz w:val="20"/>
                <w:szCs w:val="20"/>
                <w:lang w:val="en-GB"/>
              </w:rPr>
            </w:pPr>
            <w:r>
              <w:rPr>
                <w:rFonts w:cstheme="minorHAnsi"/>
                <w:sz w:val="20"/>
                <w:szCs w:val="20"/>
                <w:lang w:val="en-GB"/>
              </w:rPr>
              <w:lastRenderedPageBreak/>
              <w:t>A</w:t>
            </w:r>
            <w:r w:rsidRPr="0036465D">
              <w:rPr>
                <w:rFonts w:cstheme="minorHAnsi"/>
                <w:sz w:val="20"/>
                <w:szCs w:val="20"/>
                <w:lang w:val="en-GB"/>
              </w:rPr>
              <w:t>ll of the substantive modifications proposed in our ECP</w:t>
            </w:r>
            <w:r>
              <w:rPr>
                <w:rFonts w:cstheme="minorHAnsi"/>
                <w:sz w:val="20"/>
                <w:szCs w:val="20"/>
                <w:lang w:val="en-GB"/>
              </w:rPr>
              <w:t xml:space="preserve"> </w:t>
            </w:r>
            <w:r w:rsidRPr="0036465D">
              <w:rPr>
                <w:rFonts w:cstheme="minorHAnsi"/>
                <w:sz w:val="20"/>
                <w:szCs w:val="20"/>
                <w:lang w:val="en-GB"/>
              </w:rPr>
              <w:t>successfully agreed, despite moderate pushback</w:t>
            </w:r>
            <w:r>
              <w:rPr>
                <w:rFonts w:cstheme="minorHAnsi"/>
                <w:sz w:val="20"/>
                <w:szCs w:val="20"/>
                <w:lang w:val="en-GB"/>
              </w:rPr>
              <w:t>.</w:t>
            </w:r>
            <w:r w:rsidRPr="0036465D">
              <w:rPr>
                <w:rFonts w:cstheme="minorHAnsi"/>
                <w:sz w:val="20"/>
                <w:szCs w:val="20"/>
                <w:lang w:val="en-GB"/>
              </w:rPr>
              <w:t xml:space="preserve"> </w:t>
            </w:r>
            <w:r w:rsidRPr="0036465D">
              <w:rPr>
                <w:rFonts w:cstheme="minorHAnsi"/>
                <w:sz w:val="20"/>
                <w:szCs w:val="20"/>
                <w:lang w:val="en-GB"/>
              </w:rPr>
              <w:lastRenderedPageBreak/>
              <w:t>Our positive contributions included new requirements for consulting with disability experts in venue selection processes, disability inclusion considerations in ITU staff recruitment processes, and training and capacity building for ITU staff on accessibility awareness.</w:t>
            </w:r>
          </w:p>
        </w:tc>
      </w:tr>
      <w:tr w:rsidR="008D4976" w14:paraId="25115B39" w14:textId="77777777" w:rsidTr="00671DB6">
        <w:tc>
          <w:tcPr>
            <w:tcW w:w="1271" w:type="dxa"/>
          </w:tcPr>
          <w:p w14:paraId="6B470E0F" w14:textId="1DAA9ED3" w:rsidR="008D4976" w:rsidRDefault="008D4976" w:rsidP="008D4976">
            <w:pPr>
              <w:spacing w:after="120" w:line="276" w:lineRule="auto"/>
              <w:rPr>
                <w:rFonts w:cstheme="minorHAnsi"/>
                <w:b/>
                <w:bCs/>
                <w:sz w:val="24"/>
                <w:szCs w:val="24"/>
                <w:lang w:val="en-GB"/>
              </w:rPr>
            </w:pPr>
            <w:r>
              <w:rPr>
                <w:rFonts w:cs="Calibri"/>
                <w:sz w:val="20"/>
                <w:lang w:val="en-US"/>
              </w:rPr>
              <w:lastRenderedPageBreak/>
              <w:t>ECP 20</w:t>
            </w:r>
          </w:p>
        </w:tc>
        <w:tc>
          <w:tcPr>
            <w:tcW w:w="3686" w:type="dxa"/>
          </w:tcPr>
          <w:p w14:paraId="1FF35761" w14:textId="359BC0F8"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179 (DUBAI, 2018): </w:t>
            </w:r>
            <w:r>
              <w:rPr>
                <w:rFonts w:cstheme="minorHAnsi"/>
                <w:sz w:val="20"/>
                <w:lang w:val="en-US" w:eastAsia="sv-SE"/>
              </w:rPr>
              <w:t>ITU's role in child online protection</w:t>
            </w:r>
          </w:p>
        </w:tc>
        <w:tc>
          <w:tcPr>
            <w:tcW w:w="4671" w:type="dxa"/>
          </w:tcPr>
          <w:p w14:paraId="556BD684" w14:textId="70B85D16" w:rsidR="008D4976" w:rsidRPr="002346DA" w:rsidRDefault="002346DA" w:rsidP="008D4976">
            <w:pPr>
              <w:spacing w:after="120" w:line="276" w:lineRule="auto"/>
              <w:rPr>
                <w:rFonts w:cstheme="minorHAnsi"/>
                <w:sz w:val="20"/>
                <w:szCs w:val="20"/>
                <w:lang w:val="en-GB"/>
              </w:rPr>
            </w:pPr>
            <w:r>
              <w:rPr>
                <w:rFonts w:cstheme="minorHAnsi"/>
                <w:sz w:val="20"/>
                <w:szCs w:val="20"/>
                <w:lang w:val="en-GB"/>
              </w:rPr>
              <w:t>Objectives of avoiding links to cybersecurity</w:t>
            </w:r>
            <w:r w:rsidR="0088290E">
              <w:rPr>
                <w:rFonts w:cstheme="minorHAnsi"/>
                <w:sz w:val="20"/>
                <w:szCs w:val="20"/>
                <w:lang w:val="en-GB"/>
              </w:rPr>
              <w:t>, and a broader role for ITU-T,</w:t>
            </w:r>
            <w:r>
              <w:rPr>
                <w:rFonts w:cstheme="minorHAnsi"/>
                <w:sz w:val="20"/>
                <w:szCs w:val="20"/>
                <w:lang w:val="en-GB"/>
              </w:rPr>
              <w:t xml:space="preserve"> were achieved. </w:t>
            </w:r>
          </w:p>
        </w:tc>
      </w:tr>
      <w:tr w:rsidR="008D4976" w14:paraId="339ADEFF" w14:textId="77777777" w:rsidTr="00671DB6">
        <w:tc>
          <w:tcPr>
            <w:tcW w:w="1271" w:type="dxa"/>
          </w:tcPr>
          <w:p w14:paraId="25E5684F" w14:textId="3346CC67" w:rsidR="008D4976" w:rsidRDefault="008D4976" w:rsidP="008D4976">
            <w:pPr>
              <w:spacing w:after="120" w:line="276" w:lineRule="auto"/>
              <w:rPr>
                <w:rFonts w:cstheme="minorHAnsi"/>
                <w:b/>
                <w:bCs/>
                <w:sz w:val="24"/>
                <w:szCs w:val="24"/>
                <w:lang w:val="en-GB"/>
              </w:rPr>
            </w:pPr>
            <w:r>
              <w:rPr>
                <w:rFonts w:cs="Calibri"/>
                <w:sz w:val="20"/>
                <w:lang w:val="en-US"/>
              </w:rPr>
              <w:t>ECP 21</w:t>
            </w:r>
          </w:p>
        </w:tc>
        <w:tc>
          <w:tcPr>
            <w:tcW w:w="3686" w:type="dxa"/>
          </w:tcPr>
          <w:p w14:paraId="6CDF66ED" w14:textId="3E1C4AE2"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182 (REV. BUSAN, 2014): </w:t>
            </w:r>
            <w:r>
              <w:rPr>
                <w:rFonts w:cstheme="minorHAnsi"/>
                <w:sz w:val="20"/>
                <w:lang w:val="en-US" w:eastAsia="sv-SE"/>
              </w:rPr>
              <w:t>The role of telecommunications/information and communication technologies in regard to climate change and the protection of the environment</w:t>
            </w:r>
          </w:p>
        </w:tc>
        <w:tc>
          <w:tcPr>
            <w:tcW w:w="4671" w:type="dxa"/>
          </w:tcPr>
          <w:p w14:paraId="517C9632" w14:textId="6BAC30FF" w:rsidR="008D4976" w:rsidRPr="003540D1" w:rsidRDefault="008D4976" w:rsidP="008D4976">
            <w:pPr>
              <w:spacing w:after="120" w:line="276" w:lineRule="auto"/>
              <w:rPr>
                <w:rFonts w:cstheme="minorHAnsi"/>
                <w:sz w:val="20"/>
                <w:szCs w:val="20"/>
                <w:lang w:val="en-GB"/>
              </w:rPr>
            </w:pPr>
            <w:r>
              <w:rPr>
                <w:rFonts w:cstheme="minorHAnsi"/>
                <w:sz w:val="20"/>
                <w:szCs w:val="20"/>
                <w:lang w:val="en-GB"/>
              </w:rPr>
              <w:t>M</w:t>
            </w:r>
            <w:r w:rsidRPr="003540D1">
              <w:rPr>
                <w:rFonts w:cstheme="minorHAnsi"/>
                <w:sz w:val="20"/>
                <w:szCs w:val="20"/>
                <w:lang w:val="en-GB"/>
              </w:rPr>
              <w:t xml:space="preserve">ost CEPT objectives were met. CEPT worked hard with US and ATU to clarify some issues and to avoid repetitions within the text. </w:t>
            </w:r>
            <w:r>
              <w:rPr>
                <w:rFonts w:cstheme="minorHAnsi"/>
                <w:sz w:val="20"/>
                <w:szCs w:val="20"/>
                <w:lang w:val="en-GB"/>
              </w:rPr>
              <w:t xml:space="preserve">There is more to do on some of our objectives re </w:t>
            </w:r>
            <w:r w:rsidRPr="003540D1">
              <w:rPr>
                <w:rFonts w:cstheme="minorHAnsi"/>
                <w:sz w:val="20"/>
                <w:szCs w:val="20"/>
                <w:lang w:val="en-GB"/>
              </w:rPr>
              <w:t xml:space="preserve">environment and negative/positive impact of ICT. </w:t>
            </w:r>
            <w:r>
              <w:rPr>
                <w:rFonts w:cstheme="minorHAnsi"/>
                <w:sz w:val="20"/>
                <w:szCs w:val="20"/>
                <w:lang w:val="en-GB"/>
              </w:rPr>
              <w:t xml:space="preserve">We might revisit this resolution at next PP. </w:t>
            </w:r>
          </w:p>
        </w:tc>
      </w:tr>
      <w:tr w:rsidR="008D4976" w14:paraId="01DC60CC" w14:textId="77777777" w:rsidTr="00671DB6">
        <w:tc>
          <w:tcPr>
            <w:tcW w:w="1271" w:type="dxa"/>
          </w:tcPr>
          <w:p w14:paraId="5769A684" w14:textId="5E71942B" w:rsidR="008D4976" w:rsidRDefault="008D4976" w:rsidP="008D4976">
            <w:pPr>
              <w:spacing w:after="120" w:line="276" w:lineRule="auto"/>
              <w:rPr>
                <w:rFonts w:cstheme="minorHAnsi"/>
                <w:b/>
                <w:bCs/>
                <w:sz w:val="24"/>
                <w:szCs w:val="24"/>
                <w:lang w:val="en-GB"/>
              </w:rPr>
            </w:pPr>
            <w:r>
              <w:rPr>
                <w:rFonts w:cs="Calibri"/>
                <w:sz w:val="20"/>
                <w:lang w:val="en-US"/>
              </w:rPr>
              <w:t>ECP 22</w:t>
            </w:r>
          </w:p>
        </w:tc>
        <w:tc>
          <w:tcPr>
            <w:tcW w:w="3686" w:type="dxa"/>
          </w:tcPr>
          <w:p w14:paraId="0B25F38B" w14:textId="464E2E2E"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188 (DUBAI, 2018): </w:t>
            </w:r>
            <w:r>
              <w:rPr>
                <w:rFonts w:cstheme="minorHAnsi"/>
                <w:sz w:val="20"/>
                <w:lang w:val="en-US" w:eastAsia="sv-SE"/>
              </w:rPr>
              <w:t>Combating counterfeit telecommunication/information and communication technology devices</w:t>
            </w:r>
          </w:p>
        </w:tc>
        <w:tc>
          <w:tcPr>
            <w:tcW w:w="4671" w:type="dxa"/>
          </w:tcPr>
          <w:p w14:paraId="49FCC9F4" w14:textId="42B8205C" w:rsidR="008D4976" w:rsidRPr="00F166DD" w:rsidRDefault="00AD05B3" w:rsidP="001512E8">
            <w:pPr>
              <w:rPr>
                <w:rFonts w:cstheme="minorHAnsi"/>
                <w:sz w:val="20"/>
                <w:szCs w:val="20"/>
                <w:lang w:val="en-GB"/>
              </w:rPr>
            </w:pPr>
            <w:r>
              <w:rPr>
                <w:rFonts w:cstheme="minorHAnsi"/>
                <w:sz w:val="20"/>
                <w:szCs w:val="20"/>
                <w:lang w:val="en-GB"/>
              </w:rPr>
              <w:t>Resolution was expanded in scope</w:t>
            </w:r>
            <w:r w:rsidR="001512E8">
              <w:rPr>
                <w:rFonts w:cstheme="minorHAnsi"/>
                <w:sz w:val="20"/>
                <w:szCs w:val="20"/>
                <w:lang w:val="en-GB"/>
              </w:rPr>
              <w:t xml:space="preserve">, following CITEL proposals that CEPT was content with. </w:t>
            </w:r>
            <w:r w:rsidR="00F166DD" w:rsidRPr="00F166DD">
              <w:rPr>
                <w:rFonts w:cstheme="minorHAnsi"/>
                <w:sz w:val="20"/>
                <w:szCs w:val="20"/>
                <w:lang w:val="en-GB"/>
              </w:rPr>
              <w:t xml:space="preserve">We were unable to removed existing text on Digital Object Architecture, but </w:t>
            </w:r>
            <w:r w:rsidR="00F166DD">
              <w:rPr>
                <w:rFonts w:cstheme="minorHAnsi"/>
                <w:sz w:val="20"/>
                <w:szCs w:val="20"/>
                <w:lang w:val="en-GB"/>
              </w:rPr>
              <w:t xml:space="preserve">a number of CEPT members joined </w:t>
            </w:r>
            <w:r w:rsidR="00F166DD" w:rsidRPr="00F166DD">
              <w:rPr>
                <w:rFonts w:cstheme="minorHAnsi"/>
                <w:sz w:val="20"/>
                <w:szCs w:val="20"/>
                <w:lang w:val="en-GB"/>
              </w:rPr>
              <w:t>a Declaration co-signed by 35 countries in the Final Acts of the conference recording opposition to this.</w:t>
            </w:r>
          </w:p>
        </w:tc>
      </w:tr>
      <w:tr w:rsidR="008D4976" w14:paraId="7B536316" w14:textId="77777777" w:rsidTr="00671DB6">
        <w:tc>
          <w:tcPr>
            <w:tcW w:w="1271" w:type="dxa"/>
          </w:tcPr>
          <w:p w14:paraId="7E7A2CB3" w14:textId="404E7E84" w:rsidR="008D4976" w:rsidRDefault="008D4976" w:rsidP="008D4976">
            <w:pPr>
              <w:spacing w:after="120" w:line="276" w:lineRule="auto"/>
              <w:rPr>
                <w:rFonts w:cstheme="minorHAnsi"/>
                <w:b/>
                <w:bCs/>
                <w:sz w:val="24"/>
                <w:szCs w:val="24"/>
                <w:lang w:val="en-GB"/>
              </w:rPr>
            </w:pPr>
            <w:r>
              <w:rPr>
                <w:rFonts w:cs="Calibri"/>
                <w:sz w:val="20"/>
                <w:lang w:val="en-US"/>
              </w:rPr>
              <w:t>ECP 23</w:t>
            </w:r>
          </w:p>
        </w:tc>
        <w:tc>
          <w:tcPr>
            <w:tcW w:w="3686" w:type="dxa"/>
          </w:tcPr>
          <w:p w14:paraId="3011D0E2" w14:textId="1E5865B2"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189 (REV. DUBAI, 2018): </w:t>
            </w:r>
            <w:r>
              <w:rPr>
                <w:rFonts w:cstheme="minorHAnsi"/>
                <w:sz w:val="20"/>
                <w:lang w:val="en-US" w:eastAsia="sv-SE"/>
              </w:rPr>
              <w:t>Assisting Member States to combat and deter mobile device theft</w:t>
            </w:r>
          </w:p>
        </w:tc>
        <w:tc>
          <w:tcPr>
            <w:tcW w:w="4671" w:type="dxa"/>
          </w:tcPr>
          <w:p w14:paraId="36873044" w14:textId="25F554C3" w:rsidR="008D4976" w:rsidRPr="00D305EF" w:rsidRDefault="00D305EF" w:rsidP="008D4976">
            <w:pPr>
              <w:spacing w:after="120" w:line="276" w:lineRule="auto"/>
              <w:rPr>
                <w:rFonts w:cstheme="minorHAnsi"/>
                <w:sz w:val="20"/>
                <w:szCs w:val="20"/>
                <w:lang w:val="en-GB"/>
              </w:rPr>
            </w:pPr>
            <w:r>
              <w:rPr>
                <w:rFonts w:cstheme="minorHAnsi"/>
                <w:sz w:val="20"/>
                <w:szCs w:val="20"/>
                <w:lang w:val="en-GB"/>
              </w:rPr>
              <w:t>NOC as per ECP.</w:t>
            </w:r>
          </w:p>
        </w:tc>
      </w:tr>
      <w:tr w:rsidR="008D4976" w14:paraId="58485E92" w14:textId="77777777" w:rsidTr="00671DB6">
        <w:tc>
          <w:tcPr>
            <w:tcW w:w="1271" w:type="dxa"/>
          </w:tcPr>
          <w:p w14:paraId="490D40A6" w14:textId="40422C0A" w:rsidR="008D4976" w:rsidRDefault="008D4976" w:rsidP="008D4976">
            <w:pPr>
              <w:spacing w:after="120" w:line="276" w:lineRule="auto"/>
              <w:rPr>
                <w:rFonts w:cstheme="minorHAnsi"/>
                <w:b/>
                <w:bCs/>
                <w:sz w:val="24"/>
                <w:szCs w:val="24"/>
                <w:lang w:val="en-GB"/>
              </w:rPr>
            </w:pPr>
            <w:r>
              <w:rPr>
                <w:rFonts w:cs="Calibri"/>
                <w:sz w:val="20"/>
                <w:lang w:val="en-US"/>
              </w:rPr>
              <w:t>ECP 24</w:t>
            </w:r>
          </w:p>
        </w:tc>
        <w:tc>
          <w:tcPr>
            <w:tcW w:w="3686" w:type="dxa"/>
          </w:tcPr>
          <w:p w14:paraId="1C75EB4F" w14:textId="45A05552"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196 (REV. DUBAI, 2018): </w:t>
            </w:r>
            <w:r>
              <w:rPr>
                <w:rFonts w:cstheme="minorHAnsi"/>
                <w:sz w:val="20"/>
                <w:lang w:val="en-US" w:eastAsia="sv-SE"/>
              </w:rPr>
              <w:t>Protecting telecommunication service users/consumers</w:t>
            </w:r>
          </w:p>
        </w:tc>
        <w:tc>
          <w:tcPr>
            <w:tcW w:w="4671" w:type="dxa"/>
          </w:tcPr>
          <w:p w14:paraId="72D108B8" w14:textId="28FBB0BF" w:rsidR="008D4976" w:rsidRPr="005773BC" w:rsidRDefault="005773BC" w:rsidP="008D4976">
            <w:pPr>
              <w:spacing w:after="120" w:line="276" w:lineRule="auto"/>
              <w:rPr>
                <w:rFonts w:cstheme="minorHAnsi"/>
                <w:sz w:val="20"/>
                <w:szCs w:val="20"/>
                <w:lang w:val="en-GB"/>
              </w:rPr>
            </w:pPr>
            <w:r w:rsidRPr="005773BC">
              <w:rPr>
                <w:rFonts w:cstheme="minorHAnsi"/>
                <w:sz w:val="20"/>
                <w:szCs w:val="20"/>
                <w:lang w:val="en-GB"/>
              </w:rPr>
              <w:t>We did not concede any of the CEPT red lines</w:t>
            </w:r>
            <w:r>
              <w:rPr>
                <w:rFonts w:cstheme="minorHAnsi"/>
                <w:sz w:val="20"/>
                <w:szCs w:val="20"/>
                <w:lang w:val="en-GB"/>
              </w:rPr>
              <w:t xml:space="preserve">, including the addition of </w:t>
            </w:r>
            <w:r w:rsidRPr="005773BC">
              <w:rPr>
                <w:rFonts w:cstheme="minorHAnsi"/>
                <w:sz w:val="20"/>
                <w:szCs w:val="20"/>
                <w:lang w:val="en-GB"/>
              </w:rPr>
              <w:t xml:space="preserve">"cybersecurity" and other proposals to expand the ITU's mandate to address legal or regulatory consumer protection frameworks. </w:t>
            </w:r>
            <w:r w:rsidR="004A419A">
              <w:rPr>
                <w:rFonts w:cstheme="minorHAnsi"/>
                <w:sz w:val="20"/>
                <w:szCs w:val="20"/>
                <w:lang w:val="en-GB"/>
              </w:rPr>
              <w:t>W</w:t>
            </w:r>
            <w:r w:rsidRPr="005773BC">
              <w:rPr>
                <w:rFonts w:cstheme="minorHAnsi"/>
                <w:sz w:val="20"/>
                <w:szCs w:val="20"/>
                <w:lang w:val="en-GB"/>
              </w:rPr>
              <w:t>e protected the ITU-D's lead role and diverted proposals that would specifically highlight OTT issues to accept more general language, i.e. "issues related to international telecommunication/ICTs". We successfully diverted proposals to create a new "centralized digital tool" to focus on supporting existing tools and mechanisms.</w:t>
            </w:r>
          </w:p>
        </w:tc>
      </w:tr>
      <w:tr w:rsidR="008D4976" w14:paraId="1114F73A" w14:textId="77777777" w:rsidTr="00671DB6">
        <w:tc>
          <w:tcPr>
            <w:tcW w:w="1271" w:type="dxa"/>
          </w:tcPr>
          <w:p w14:paraId="6B60FE3F" w14:textId="32F614E3" w:rsidR="008D4976" w:rsidRDefault="008D4976" w:rsidP="008D4976">
            <w:pPr>
              <w:spacing w:after="120" w:line="276" w:lineRule="auto"/>
              <w:rPr>
                <w:rFonts w:cstheme="minorHAnsi"/>
                <w:b/>
                <w:bCs/>
                <w:sz w:val="24"/>
                <w:szCs w:val="24"/>
                <w:lang w:val="en-GB"/>
              </w:rPr>
            </w:pPr>
            <w:r>
              <w:rPr>
                <w:rFonts w:cs="Calibri"/>
                <w:sz w:val="20"/>
                <w:lang w:val="en-US"/>
              </w:rPr>
              <w:t>ECP 25</w:t>
            </w:r>
          </w:p>
        </w:tc>
        <w:tc>
          <w:tcPr>
            <w:tcW w:w="3686" w:type="dxa"/>
          </w:tcPr>
          <w:p w14:paraId="0306B6B8" w14:textId="258C2A19"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197 (DUBAI, 2018): </w:t>
            </w:r>
            <w:r>
              <w:rPr>
                <w:rFonts w:cstheme="minorHAnsi"/>
                <w:sz w:val="20"/>
                <w:lang w:val="en-US" w:eastAsia="sv-SE"/>
              </w:rPr>
              <w:t>Facilitating the Internet of Things and smart sustainable cities and communities</w:t>
            </w:r>
          </w:p>
        </w:tc>
        <w:tc>
          <w:tcPr>
            <w:tcW w:w="4671" w:type="dxa"/>
          </w:tcPr>
          <w:p w14:paraId="339C5FD3" w14:textId="5C4D172E" w:rsidR="008D4976" w:rsidRPr="00364F86" w:rsidRDefault="008D4976" w:rsidP="008D4976">
            <w:pPr>
              <w:spacing w:after="120" w:line="276" w:lineRule="auto"/>
              <w:rPr>
                <w:rFonts w:cstheme="minorHAnsi"/>
                <w:sz w:val="20"/>
                <w:szCs w:val="20"/>
                <w:lang w:val="en-GB"/>
              </w:rPr>
            </w:pPr>
            <w:r w:rsidRPr="00364F86">
              <w:rPr>
                <w:rFonts w:cstheme="minorHAnsi"/>
                <w:sz w:val="20"/>
                <w:szCs w:val="20"/>
                <w:lang w:val="en-GB"/>
              </w:rPr>
              <w:t xml:space="preserve">Res 197 was not contentious, and the DOA issues that made this resolution problematic at PP18 did not surface at PP22. Some amendments reflected the increasing role and benefits of IoT and SSC&amp;C. CEPT succeeded in adding text (from WTSA-22) recognising that there is a wide variety of use cases and applications, and that it is important for IoT to be open and adaptable. We also added some text providing greater recognition of the roles of other standards bodies in this area and the importance of collaboration with SDOs and stakeholders and avoiding duplication (although RCC successfully </w:t>
            </w:r>
            <w:r w:rsidRPr="00364F86">
              <w:rPr>
                <w:rFonts w:cstheme="minorHAnsi"/>
                <w:sz w:val="20"/>
                <w:szCs w:val="20"/>
                <w:lang w:val="en-GB"/>
              </w:rPr>
              <w:lastRenderedPageBreak/>
              <w:t>rejected inclusion of some of the specific examples we wanted to use).</w:t>
            </w:r>
          </w:p>
        </w:tc>
      </w:tr>
      <w:tr w:rsidR="008D4976" w14:paraId="7D1C6CA6" w14:textId="77777777" w:rsidTr="00671DB6">
        <w:tc>
          <w:tcPr>
            <w:tcW w:w="1271" w:type="dxa"/>
          </w:tcPr>
          <w:p w14:paraId="6C5D20D1" w14:textId="0D37CE90" w:rsidR="008D4976" w:rsidRDefault="008D4976" w:rsidP="008D4976">
            <w:pPr>
              <w:spacing w:after="120" w:line="276" w:lineRule="auto"/>
              <w:rPr>
                <w:rFonts w:cstheme="minorHAnsi"/>
                <w:b/>
                <w:bCs/>
                <w:sz w:val="24"/>
                <w:szCs w:val="24"/>
                <w:lang w:val="en-GB"/>
              </w:rPr>
            </w:pPr>
            <w:r>
              <w:rPr>
                <w:rFonts w:cs="Calibri"/>
                <w:sz w:val="20"/>
                <w:lang w:val="en-US"/>
              </w:rPr>
              <w:lastRenderedPageBreak/>
              <w:t>ECP 26</w:t>
            </w:r>
          </w:p>
        </w:tc>
        <w:tc>
          <w:tcPr>
            <w:tcW w:w="3686" w:type="dxa"/>
          </w:tcPr>
          <w:p w14:paraId="4BC0ED55" w14:textId="30FC16BF"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Resolution 205 (DUBAI, 2018): </w:t>
            </w:r>
            <w:r>
              <w:rPr>
                <w:rFonts w:cstheme="minorHAnsi"/>
                <w:sz w:val="20"/>
                <w:lang w:val="en-US" w:eastAsia="sv-SE"/>
              </w:rPr>
              <w:t>ITU's role in fostering telecommunication/information and communication technology-centric innovation to support the digital economy and society</w:t>
            </w:r>
          </w:p>
        </w:tc>
        <w:tc>
          <w:tcPr>
            <w:tcW w:w="4671" w:type="dxa"/>
          </w:tcPr>
          <w:p w14:paraId="435DB603" w14:textId="5BADB759" w:rsidR="008D4976" w:rsidRPr="00D132A1" w:rsidRDefault="00D132A1" w:rsidP="008D4976">
            <w:pPr>
              <w:spacing w:after="120" w:line="276" w:lineRule="auto"/>
              <w:rPr>
                <w:rFonts w:cstheme="minorHAnsi"/>
                <w:sz w:val="20"/>
                <w:szCs w:val="20"/>
                <w:lang w:val="en-GB"/>
              </w:rPr>
            </w:pPr>
            <w:r w:rsidRPr="00D132A1">
              <w:rPr>
                <w:rFonts w:cstheme="minorHAnsi"/>
                <w:sz w:val="20"/>
                <w:szCs w:val="20"/>
                <w:lang w:val="en-GB"/>
              </w:rPr>
              <w:t>CEPT proposed changes to bring the issue of high import tariffs on ICT hardware in developing countries to the attention of the ITU</w:t>
            </w:r>
            <w:r w:rsidR="00666D2D">
              <w:rPr>
                <w:rFonts w:cstheme="minorHAnsi"/>
                <w:sz w:val="20"/>
                <w:szCs w:val="20"/>
                <w:lang w:val="en-GB"/>
              </w:rPr>
              <w:t xml:space="preserve">. In the end we </w:t>
            </w:r>
            <w:r w:rsidRPr="00D132A1">
              <w:rPr>
                <w:rFonts w:cstheme="minorHAnsi"/>
                <w:sz w:val="20"/>
                <w:szCs w:val="20"/>
                <w:lang w:val="en-GB"/>
              </w:rPr>
              <w:t xml:space="preserve">agreed to less specific references than we proposed but </w:t>
            </w:r>
            <w:r w:rsidR="00666D2D">
              <w:rPr>
                <w:rFonts w:cstheme="minorHAnsi"/>
                <w:sz w:val="20"/>
                <w:szCs w:val="20"/>
                <w:lang w:val="en-GB"/>
              </w:rPr>
              <w:t xml:space="preserve">other </w:t>
            </w:r>
            <w:r w:rsidRPr="00D132A1">
              <w:rPr>
                <w:rFonts w:cstheme="minorHAnsi"/>
                <w:sz w:val="20"/>
                <w:szCs w:val="20"/>
                <w:lang w:val="en-GB"/>
              </w:rPr>
              <w:t xml:space="preserve"> language on the work of other international organisations was endorsed. The proposals of other regions were largely agreeable.</w:t>
            </w:r>
          </w:p>
        </w:tc>
      </w:tr>
      <w:tr w:rsidR="008D4976" w14:paraId="5F072061" w14:textId="77777777" w:rsidTr="00671DB6">
        <w:tc>
          <w:tcPr>
            <w:tcW w:w="1271" w:type="dxa"/>
          </w:tcPr>
          <w:p w14:paraId="46811B29" w14:textId="52016C36" w:rsidR="008D4976" w:rsidRDefault="008D4976" w:rsidP="008D4976">
            <w:pPr>
              <w:spacing w:after="120" w:line="276" w:lineRule="auto"/>
              <w:rPr>
                <w:rFonts w:cstheme="minorHAnsi"/>
                <w:b/>
                <w:bCs/>
                <w:sz w:val="24"/>
                <w:szCs w:val="24"/>
                <w:lang w:val="en-GB"/>
              </w:rPr>
            </w:pPr>
            <w:r>
              <w:rPr>
                <w:rFonts w:cs="Calibri"/>
                <w:sz w:val="20"/>
                <w:lang w:val="en-US"/>
              </w:rPr>
              <w:t>ECP 27</w:t>
            </w:r>
          </w:p>
        </w:tc>
        <w:tc>
          <w:tcPr>
            <w:tcW w:w="3686" w:type="dxa"/>
          </w:tcPr>
          <w:p w14:paraId="61FBBB4D" w14:textId="1BA130C1"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Draft new Resolution [ECP-1] (Bucharest, 2022) “INDUSTRY ENGAGEMENT”: </w:t>
            </w:r>
            <w:r>
              <w:rPr>
                <w:rFonts w:cstheme="minorHAnsi"/>
                <w:sz w:val="20"/>
                <w:lang w:val="en-US" w:eastAsia="sv-SE"/>
              </w:rPr>
              <w:t>Encouraging the participation of Industry in the work of the Union</w:t>
            </w:r>
          </w:p>
        </w:tc>
        <w:tc>
          <w:tcPr>
            <w:tcW w:w="4671" w:type="dxa"/>
          </w:tcPr>
          <w:p w14:paraId="56CC5477" w14:textId="77777777" w:rsidR="008D4976" w:rsidRDefault="003148EC" w:rsidP="008D4976">
            <w:pPr>
              <w:spacing w:after="120" w:line="276" w:lineRule="auto"/>
              <w:rPr>
                <w:rFonts w:cstheme="minorHAnsi"/>
                <w:sz w:val="20"/>
                <w:szCs w:val="20"/>
                <w:lang w:val="en-GB"/>
              </w:rPr>
            </w:pPr>
            <w:r w:rsidRPr="003148EC">
              <w:rPr>
                <w:rFonts w:cstheme="minorHAnsi"/>
                <w:sz w:val="20"/>
                <w:szCs w:val="20"/>
                <w:lang w:val="en-GB"/>
              </w:rPr>
              <w:t>The proposed new resolution was not agreed due to conference politics as a number of countries tried to use the negotiation of this resolution to trade on other resolution outcomes</w:t>
            </w:r>
            <w:r w:rsidR="00424130">
              <w:rPr>
                <w:rFonts w:cstheme="minorHAnsi"/>
                <w:sz w:val="20"/>
                <w:szCs w:val="20"/>
                <w:lang w:val="en-GB"/>
              </w:rPr>
              <w:t xml:space="preserve">, and ultimately it was blocked. </w:t>
            </w:r>
            <w:r w:rsidRPr="003148EC">
              <w:rPr>
                <w:rFonts w:cstheme="minorHAnsi"/>
                <w:sz w:val="20"/>
                <w:szCs w:val="20"/>
                <w:lang w:val="en-GB"/>
              </w:rPr>
              <w:t xml:space="preserve">However, Recommendation 5 was agreed for incorporation into the COM 5 meeting report to Plenary requesting the ITU Secretary General and the directors of the three bureaus to continue looking at industry engagement issues. </w:t>
            </w:r>
          </w:p>
          <w:p w14:paraId="114D56C9" w14:textId="38B73897" w:rsidR="00CD02D3" w:rsidRPr="00CD02D3" w:rsidRDefault="00CD02D3" w:rsidP="008D4976">
            <w:pPr>
              <w:spacing w:after="120" w:line="276" w:lineRule="auto"/>
              <w:rPr>
                <w:rFonts w:cstheme="minorHAnsi"/>
                <w:sz w:val="20"/>
                <w:szCs w:val="20"/>
                <w:u w:val="single"/>
                <w:lang w:val="en-GB"/>
              </w:rPr>
            </w:pPr>
            <w:r w:rsidRPr="00CD02D3">
              <w:rPr>
                <w:rFonts w:cstheme="minorHAnsi"/>
                <w:sz w:val="20"/>
                <w:szCs w:val="20"/>
                <w:u w:val="single"/>
                <w:lang w:val="en-GB"/>
              </w:rPr>
              <w:t>Next steps: consider issue at WTSA?</w:t>
            </w:r>
          </w:p>
        </w:tc>
      </w:tr>
      <w:tr w:rsidR="008D4976" w14:paraId="414E399C" w14:textId="77777777" w:rsidTr="00671DB6">
        <w:tc>
          <w:tcPr>
            <w:tcW w:w="1271" w:type="dxa"/>
          </w:tcPr>
          <w:p w14:paraId="2F720E65" w14:textId="11D82D7D" w:rsidR="008D4976" w:rsidRDefault="008D4976" w:rsidP="008D4976">
            <w:pPr>
              <w:spacing w:after="120" w:line="276" w:lineRule="auto"/>
              <w:rPr>
                <w:rFonts w:cstheme="minorHAnsi"/>
                <w:b/>
                <w:bCs/>
                <w:sz w:val="24"/>
                <w:szCs w:val="24"/>
                <w:lang w:val="en-GB"/>
              </w:rPr>
            </w:pPr>
            <w:r>
              <w:rPr>
                <w:rFonts w:cs="Calibri"/>
                <w:sz w:val="20"/>
                <w:lang w:val="en-US"/>
              </w:rPr>
              <w:t>ECP 28</w:t>
            </w:r>
          </w:p>
        </w:tc>
        <w:tc>
          <w:tcPr>
            <w:tcW w:w="3686" w:type="dxa"/>
          </w:tcPr>
          <w:p w14:paraId="459EF469" w14:textId="2D55D1EE"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Draft new Resolution [ECP-2] (Bucharest, 2022): </w:t>
            </w:r>
            <w:r>
              <w:rPr>
                <w:rFonts w:cstheme="minorHAnsi"/>
                <w:sz w:val="20"/>
                <w:lang w:val="en-US" w:eastAsia="sv-SE"/>
              </w:rPr>
              <w:t>Artificial Intelligence technologies in support of telecommunications/ICTs and the 2030 Sustainable Development Agenda</w:t>
            </w:r>
          </w:p>
        </w:tc>
        <w:tc>
          <w:tcPr>
            <w:tcW w:w="4671" w:type="dxa"/>
          </w:tcPr>
          <w:p w14:paraId="7E133110" w14:textId="55FDB2D1" w:rsidR="008D4976" w:rsidRPr="00363EC5" w:rsidRDefault="008D4976" w:rsidP="008D4976">
            <w:pPr>
              <w:spacing w:after="120" w:line="276" w:lineRule="auto"/>
              <w:rPr>
                <w:rFonts w:cstheme="minorHAnsi"/>
                <w:sz w:val="20"/>
                <w:szCs w:val="20"/>
                <w:lang w:val="en-GB"/>
              </w:rPr>
            </w:pPr>
            <w:r w:rsidRPr="00363EC5">
              <w:rPr>
                <w:rFonts w:cstheme="minorHAnsi"/>
                <w:sz w:val="20"/>
                <w:szCs w:val="20"/>
                <w:lang w:val="en-GB"/>
              </w:rPr>
              <w:t xml:space="preserve">PP-22 successfully agreed on a new resolution </w:t>
            </w:r>
            <w:r>
              <w:rPr>
                <w:rFonts w:cstheme="minorHAnsi"/>
                <w:sz w:val="20"/>
                <w:szCs w:val="20"/>
                <w:lang w:val="en-GB"/>
              </w:rPr>
              <w:t xml:space="preserve">that largely reflected our ECP. </w:t>
            </w:r>
            <w:r w:rsidRPr="00363EC5">
              <w:rPr>
                <w:rFonts w:cstheme="minorHAnsi"/>
                <w:sz w:val="20"/>
                <w:szCs w:val="20"/>
                <w:lang w:val="en-GB"/>
              </w:rPr>
              <w:t xml:space="preserve">Discussions focused </w:t>
            </w:r>
            <w:r>
              <w:rPr>
                <w:rFonts w:cstheme="minorHAnsi"/>
                <w:sz w:val="20"/>
                <w:szCs w:val="20"/>
                <w:lang w:val="en-GB"/>
              </w:rPr>
              <w:t xml:space="preserve">the </w:t>
            </w:r>
            <w:r w:rsidRPr="00363EC5">
              <w:rPr>
                <w:rFonts w:cstheme="minorHAnsi"/>
                <w:sz w:val="20"/>
                <w:szCs w:val="20"/>
                <w:lang w:val="en-GB"/>
              </w:rPr>
              <w:t xml:space="preserve">ITU’s cooperation with other UN entities, on multistakeholders’ involvement and on the contribution of the three sectors. Some compromise language could be found on these different issues, which satisfied CEPT’s positions and expectations for this new resolution, i.e. to have a high-level text, in line with ITU’s mandate, which highlights the need to cooperate with other UN entities and the value of multistakeholders’ inputs. </w:t>
            </w:r>
          </w:p>
        </w:tc>
      </w:tr>
      <w:tr w:rsidR="008D4976" w14:paraId="74CEA960" w14:textId="77777777" w:rsidTr="00671DB6">
        <w:tc>
          <w:tcPr>
            <w:tcW w:w="1271" w:type="dxa"/>
          </w:tcPr>
          <w:p w14:paraId="7104E6D1" w14:textId="50634FCE" w:rsidR="008D4976" w:rsidRDefault="008D4976" w:rsidP="008D4976">
            <w:pPr>
              <w:spacing w:after="120" w:line="276" w:lineRule="auto"/>
              <w:rPr>
                <w:rFonts w:cstheme="minorHAnsi"/>
                <w:b/>
                <w:bCs/>
                <w:sz w:val="24"/>
                <w:szCs w:val="24"/>
                <w:lang w:val="en-GB"/>
              </w:rPr>
            </w:pPr>
            <w:r>
              <w:rPr>
                <w:rFonts w:cs="Calibri"/>
                <w:sz w:val="20"/>
                <w:lang w:val="en-US"/>
              </w:rPr>
              <w:t>ECP 29</w:t>
            </w:r>
          </w:p>
        </w:tc>
        <w:tc>
          <w:tcPr>
            <w:tcW w:w="3686" w:type="dxa"/>
          </w:tcPr>
          <w:p w14:paraId="6417D543" w14:textId="0CF98275" w:rsidR="008D4976" w:rsidRDefault="008D4976" w:rsidP="008D4976">
            <w:pPr>
              <w:spacing w:after="120" w:line="276" w:lineRule="auto"/>
              <w:rPr>
                <w:rFonts w:cstheme="minorHAnsi"/>
                <w:b/>
                <w:bCs/>
                <w:sz w:val="24"/>
                <w:szCs w:val="24"/>
                <w:lang w:val="en-GB"/>
              </w:rPr>
            </w:pPr>
            <w:r>
              <w:rPr>
                <w:rFonts w:cstheme="minorHAnsi"/>
                <w:b/>
                <w:bCs/>
                <w:sz w:val="20"/>
                <w:lang w:val="en-US" w:eastAsia="sv-SE"/>
              </w:rPr>
              <w:t xml:space="preserve">Draft new Resolution [ECP-3] (Bucharest, 2022): </w:t>
            </w:r>
            <w:r>
              <w:rPr>
                <w:rFonts w:cstheme="minorHAnsi"/>
                <w:sz w:val="20"/>
                <w:lang w:val="en-US" w:eastAsia="sv-SE"/>
              </w:rPr>
              <w:t>Clarification on the invocation of Article 48 of the ITU Constitution in relation to the Radio Regulations</w:t>
            </w:r>
          </w:p>
        </w:tc>
        <w:tc>
          <w:tcPr>
            <w:tcW w:w="4671" w:type="dxa"/>
          </w:tcPr>
          <w:p w14:paraId="015D5691" w14:textId="7CCA6414" w:rsidR="008D4976" w:rsidRPr="001F057C" w:rsidRDefault="001F057C" w:rsidP="008D4976">
            <w:pPr>
              <w:spacing w:after="120" w:line="276" w:lineRule="auto"/>
              <w:rPr>
                <w:rFonts w:cstheme="minorHAnsi"/>
                <w:sz w:val="20"/>
                <w:szCs w:val="20"/>
                <w:lang w:val="en-GB"/>
              </w:rPr>
            </w:pPr>
            <w:r>
              <w:rPr>
                <w:rFonts w:cstheme="minorHAnsi"/>
                <w:sz w:val="20"/>
                <w:szCs w:val="20"/>
                <w:lang w:val="en-GB"/>
              </w:rPr>
              <w:t xml:space="preserve">New resolution </w:t>
            </w:r>
            <w:r w:rsidR="00852CAF" w:rsidRPr="002F3933">
              <w:rPr>
                <w:rFonts w:cstheme="minorHAnsi"/>
                <w:sz w:val="20"/>
                <w:szCs w:val="20"/>
                <w:lang w:val="en-GB"/>
              </w:rPr>
              <w:t xml:space="preserve">COM5/1 (Use of frequency assignments by military radio installations for National Defence Services) </w:t>
            </w:r>
            <w:r w:rsidR="00852CAF">
              <w:rPr>
                <w:rFonts w:cstheme="minorHAnsi"/>
                <w:sz w:val="20"/>
                <w:szCs w:val="20"/>
                <w:lang w:val="en-GB"/>
              </w:rPr>
              <w:t>was agreed, to prevent future misuses of article 48. I</w:t>
            </w:r>
            <w:r w:rsidR="00852CAF" w:rsidRPr="001578DB">
              <w:rPr>
                <w:rFonts w:cstheme="minorHAnsi"/>
                <w:sz w:val="20"/>
                <w:szCs w:val="20"/>
                <w:lang w:val="en-GB"/>
              </w:rPr>
              <w:t>f a frequency assignment for which Article 48 has been invoked is used for non-military radio installations, all relevant provisions of the Radio Regulations shall apply to the frequency assignment</w:t>
            </w:r>
            <w:r w:rsidR="00852CAF">
              <w:rPr>
                <w:rFonts w:cstheme="minorHAnsi"/>
                <w:sz w:val="20"/>
                <w:szCs w:val="20"/>
                <w:lang w:val="en-GB"/>
              </w:rPr>
              <w:t>. The BR may seek clarifications from Member States that invoked article 48.</w:t>
            </w:r>
            <w:r w:rsidR="00852CAF" w:rsidRPr="001578DB">
              <w:rPr>
                <w:rFonts w:cstheme="minorHAnsi"/>
                <w:sz w:val="20"/>
                <w:szCs w:val="20"/>
                <w:lang w:val="en-GB"/>
              </w:rPr>
              <w:t xml:space="preserve"> </w:t>
            </w:r>
            <w:r w:rsidR="00852CAF">
              <w:rPr>
                <w:rFonts w:cstheme="minorHAnsi"/>
                <w:sz w:val="20"/>
                <w:szCs w:val="20"/>
                <w:lang w:val="en-GB"/>
              </w:rPr>
              <w:t>It is also recommended to split frequency assignments into military and non-military. This is</w:t>
            </w:r>
            <w:r w:rsidR="00852CAF" w:rsidRPr="002F3933">
              <w:rPr>
                <w:rFonts w:cstheme="minorHAnsi"/>
                <w:sz w:val="20"/>
                <w:szCs w:val="20"/>
                <w:lang w:val="en-GB"/>
              </w:rPr>
              <w:t xml:space="preserve"> considered as a positive result for CEPT</w:t>
            </w:r>
            <w:r w:rsidR="00852CAF">
              <w:rPr>
                <w:rFonts w:cstheme="minorHAnsi"/>
                <w:sz w:val="20"/>
                <w:szCs w:val="20"/>
                <w:lang w:val="en-GB"/>
              </w:rPr>
              <w:t>.</w:t>
            </w:r>
          </w:p>
        </w:tc>
      </w:tr>
    </w:tbl>
    <w:p w14:paraId="16DBF279" w14:textId="77777777" w:rsidR="008C0E28" w:rsidRDefault="008C0E28" w:rsidP="00925E20">
      <w:pPr>
        <w:spacing w:after="120" w:line="276" w:lineRule="auto"/>
        <w:jc w:val="center"/>
        <w:rPr>
          <w:rFonts w:cstheme="minorHAnsi"/>
          <w:b/>
          <w:bCs/>
          <w:sz w:val="24"/>
          <w:szCs w:val="24"/>
          <w:lang w:val="en-GB"/>
        </w:rPr>
      </w:pPr>
    </w:p>
    <w:p w14:paraId="7318A08B" w14:textId="77777777" w:rsidR="008C0E28" w:rsidRDefault="008C0E28" w:rsidP="00925E20">
      <w:pPr>
        <w:spacing w:after="120" w:line="276" w:lineRule="auto"/>
        <w:jc w:val="center"/>
        <w:rPr>
          <w:rFonts w:cstheme="minorHAnsi"/>
          <w:b/>
          <w:bCs/>
          <w:sz w:val="24"/>
          <w:szCs w:val="24"/>
          <w:lang w:val="en-GB"/>
        </w:rPr>
      </w:pPr>
    </w:p>
    <w:sectPr w:rsidR="008C0E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4E82" w14:textId="77777777" w:rsidR="00996B13" w:rsidRDefault="00996B13" w:rsidP="008528DA">
      <w:pPr>
        <w:spacing w:after="0" w:line="240" w:lineRule="auto"/>
      </w:pPr>
      <w:r>
        <w:separator/>
      </w:r>
    </w:p>
  </w:endnote>
  <w:endnote w:type="continuationSeparator" w:id="0">
    <w:p w14:paraId="3772651C" w14:textId="77777777" w:rsidR="00996B13" w:rsidRDefault="00996B13" w:rsidP="008528DA">
      <w:pPr>
        <w:spacing w:after="0" w:line="240" w:lineRule="auto"/>
      </w:pPr>
      <w:r>
        <w:continuationSeparator/>
      </w:r>
    </w:p>
  </w:endnote>
  <w:endnote w:type="continuationNotice" w:id="1">
    <w:p w14:paraId="4E9FE253" w14:textId="77777777" w:rsidR="00996B13" w:rsidRDefault="00996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D140" w14:textId="77777777" w:rsidR="00996B13" w:rsidRDefault="00996B13" w:rsidP="008528DA">
      <w:pPr>
        <w:spacing w:after="0" w:line="240" w:lineRule="auto"/>
      </w:pPr>
      <w:r>
        <w:separator/>
      </w:r>
    </w:p>
  </w:footnote>
  <w:footnote w:type="continuationSeparator" w:id="0">
    <w:p w14:paraId="244F526C" w14:textId="77777777" w:rsidR="00996B13" w:rsidRDefault="00996B13" w:rsidP="008528DA">
      <w:pPr>
        <w:spacing w:after="0" w:line="240" w:lineRule="auto"/>
      </w:pPr>
      <w:r>
        <w:continuationSeparator/>
      </w:r>
    </w:p>
  </w:footnote>
  <w:footnote w:type="continuationNotice" w:id="1">
    <w:p w14:paraId="7FF7BD48" w14:textId="77777777" w:rsidR="00996B13" w:rsidRDefault="00996B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B38"/>
    <w:multiLevelType w:val="hybridMultilevel"/>
    <w:tmpl w:val="822089D0"/>
    <w:lvl w:ilvl="0" w:tplc="8B388EA2">
      <w:start w:val="1"/>
      <w:numFmt w:val="bullet"/>
      <w:lvlText w:val=""/>
      <w:lvlJc w:val="left"/>
      <w:pPr>
        <w:tabs>
          <w:tab w:val="num" w:pos="720"/>
        </w:tabs>
        <w:ind w:left="720" w:hanging="360"/>
      </w:pPr>
      <w:rPr>
        <w:rFonts w:ascii="Wingdings 2" w:hAnsi="Wingdings 2" w:hint="default"/>
      </w:rPr>
    </w:lvl>
    <w:lvl w:ilvl="1" w:tplc="518CC63C" w:tentative="1">
      <w:start w:val="1"/>
      <w:numFmt w:val="bullet"/>
      <w:lvlText w:val=""/>
      <w:lvlJc w:val="left"/>
      <w:pPr>
        <w:tabs>
          <w:tab w:val="num" w:pos="1440"/>
        </w:tabs>
        <w:ind w:left="1440" w:hanging="360"/>
      </w:pPr>
      <w:rPr>
        <w:rFonts w:ascii="Wingdings 2" w:hAnsi="Wingdings 2" w:hint="default"/>
      </w:rPr>
    </w:lvl>
    <w:lvl w:ilvl="2" w:tplc="678245D6" w:tentative="1">
      <w:start w:val="1"/>
      <w:numFmt w:val="bullet"/>
      <w:lvlText w:val=""/>
      <w:lvlJc w:val="left"/>
      <w:pPr>
        <w:tabs>
          <w:tab w:val="num" w:pos="2160"/>
        </w:tabs>
        <w:ind w:left="2160" w:hanging="360"/>
      </w:pPr>
      <w:rPr>
        <w:rFonts w:ascii="Wingdings 2" w:hAnsi="Wingdings 2" w:hint="default"/>
      </w:rPr>
    </w:lvl>
    <w:lvl w:ilvl="3" w:tplc="8D741B5E" w:tentative="1">
      <w:start w:val="1"/>
      <w:numFmt w:val="bullet"/>
      <w:lvlText w:val=""/>
      <w:lvlJc w:val="left"/>
      <w:pPr>
        <w:tabs>
          <w:tab w:val="num" w:pos="2880"/>
        </w:tabs>
        <w:ind w:left="2880" w:hanging="360"/>
      </w:pPr>
      <w:rPr>
        <w:rFonts w:ascii="Wingdings 2" w:hAnsi="Wingdings 2" w:hint="default"/>
      </w:rPr>
    </w:lvl>
    <w:lvl w:ilvl="4" w:tplc="3F24CFA2" w:tentative="1">
      <w:start w:val="1"/>
      <w:numFmt w:val="bullet"/>
      <w:lvlText w:val=""/>
      <w:lvlJc w:val="left"/>
      <w:pPr>
        <w:tabs>
          <w:tab w:val="num" w:pos="3600"/>
        </w:tabs>
        <w:ind w:left="3600" w:hanging="360"/>
      </w:pPr>
      <w:rPr>
        <w:rFonts w:ascii="Wingdings 2" w:hAnsi="Wingdings 2" w:hint="default"/>
      </w:rPr>
    </w:lvl>
    <w:lvl w:ilvl="5" w:tplc="3110A102" w:tentative="1">
      <w:start w:val="1"/>
      <w:numFmt w:val="bullet"/>
      <w:lvlText w:val=""/>
      <w:lvlJc w:val="left"/>
      <w:pPr>
        <w:tabs>
          <w:tab w:val="num" w:pos="4320"/>
        </w:tabs>
        <w:ind w:left="4320" w:hanging="360"/>
      </w:pPr>
      <w:rPr>
        <w:rFonts w:ascii="Wingdings 2" w:hAnsi="Wingdings 2" w:hint="default"/>
      </w:rPr>
    </w:lvl>
    <w:lvl w:ilvl="6" w:tplc="6D548C38" w:tentative="1">
      <w:start w:val="1"/>
      <w:numFmt w:val="bullet"/>
      <w:lvlText w:val=""/>
      <w:lvlJc w:val="left"/>
      <w:pPr>
        <w:tabs>
          <w:tab w:val="num" w:pos="5040"/>
        </w:tabs>
        <w:ind w:left="5040" w:hanging="360"/>
      </w:pPr>
      <w:rPr>
        <w:rFonts w:ascii="Wingdings 2" w:hAnsi="Wingdings 2" w:hint="default"/>
      </w:rPr>
    </w:lvl>
    <w:lvl w:ilvl="7" w:tplc="B548FF1E" w:tentative="1">
      <w:start w:val="1"/>
      <w:numFmt w:val="bullet"/>
      <w:lvlText w:val=""/>
      <w:lvlJc w:val="left"/>
      <w:pPr>
        <w:tabs>
          <w:tab w:val="num" w:pos="5760"/>
        </w:tabs>
        <w:ind w:left="5760" w:hanging="360"/>
      </w:pPr>
      <w:rPr>
        <w:rFonts w:ascii="Wingdings 2" w:hAnsi="Wingdings 2" w:hint="default"/>
      </w:rPr>
    </w:lvl>
    <w:lvl w:ilvl="8" w:tplc="C49E76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99263C"/>
    <w:multiLevelType w:val="hybridMultilevel"/>
    <w:tmpl w:val="26388A26"/>
    <w:lvl w:ilvl="0" w:tplc="54D6F0EC">
      <w:start w:val="1"/>
      <w:numFmt w:val="bullet"/>
      <w:lvlText w:val=""/>
      <w:lvlJc w:val="left"/>
      <w:pPr>
        <w:tabs>
          <w:tab w:val="num" w:pos="720"/>
        </w:tabs>
        <w:ind w:left="720" w:hanging="360"/>
      </w:pPr>
      <w:rPr>
        <w:rFonts w:ascii="Wingdings 2" w:hAnsi="Wingdings 2" w:hint="default"/>
      </w:rPr>
    </w:lvl>
    <w:lvl w:ilvl="1" w:tplc="5442EDE0" w:tentative="1">
      <w:start w:val="1"/>
      <w:numFmt w:val="bullet"/>
      <w:lvlText w:val=""/>
      <w:lvlJc w:val="left"/>
      <w:pPr>
        <w:tabs>
          <w:tab w:val="num" w:pos="1440"/>
        </w:tabs>
        <w:ind w:left="1440" w:hanging="360"/>
      </w:pPr>
      <w:rPr>
        <w:rFonts w:ascii="Wingdings 2" w:hAnsi="Wingdings 2" w:hint="default"/>
      </w:rPr>
    </w:lvl>
    <w:lvl w:ilvl="2" w:tplc="28D84FDE" w:tentative="1">
      <w:start w:val="1"/>
      <w:numFmt w:val="bullet"/>
      <w:lvlText w:val=""/>
      <w:lvlJc w:val="left"/>
      <w:pPr>
        <w:tabs>
          <w:tab w:val="num" w:pos="2160"/>
        </w:tabs>
        <w:ind w:left="2160" w:hanging="360"/>
      </w:pPr>
      <w:rPr>
        <w:rFonts w:ascii="Wingdings 2" w:hAnsi="Wingdings 2" w:hint="default"/>
      </w:rPr>
    </w:lvl>
    <w:lvl w:ilvl="3" w:tplc="89063B5E" w:tentative="1">
      <w:start w:val="1"/>
      <w:numFmt w:val="bullet"/>
      <w:lvlText w:val=""/>
      <w:lvlJc w:val="left"/>
      <w:pPr>
        <w:tabs>
          <w:tab w:val="num" w:pos="2880"/>
        </w:tabs>
        <w:ind w:left="2880" w:hanging="360"/>
      </w:pPr>
      <w:rPr>
        <w:rFonts w:ascii="Wingdings 2" w:hAnsi="Wingdings 2" w:hint="default"/>
      </w:rPr>
    </w:lvl>
    <w:lvl w:ilvl="4" w:tplc="00E83B1E" w:tentative="1">
      <w:start w:val="1"/>
      <w:numFmt w:val="bullet"/>
      <w:lvlText w:val=""/>
      <w:lvlJc w:val="left"/>
      <w:pPr>
        <w:tabs>
          <w:tab w:val="num" w:pos="3600"/>
        </w:tabs>
        <w:ind w:left="3600" w:hanging="360"/>
      </w:pPr>
      <w:rPr>
        <w:rFonts w:ascii="Wingdings 2" w:hAnsi="Wingdings 2" w:hint="default"/>
      </w:rPr>
    </w:lvl>
    <w:lvl w:ilvl="5" w:tplc="751C44A4" w:tentative="1">
      <w:start w:val="1"/>
      <w:numFmt w:val="bullet"/>
      <w:lvlText w:val=""/>
      <w:lvlJc w:val="left"/>
      <w:pPr>
        <w:tabs>
          <w:tab w:val="num" w:pos="4320"/>
        </w:tabs>
        <w:ind w:left="4320" w:hanging="360"/>
      </w:pPr>
      <w:rPr>
        <w:rFonts w:ascii="Wingdings 2" w:hAnsi="Wingdings 2" w:hint="default"/>
      </w:rPr>
    </w:lvl>
    <w:lvl w:ilvl="6" w:tplc="C618324A" w:tentative="1">
      <w:start w:val="1"/>
      <w:numFmt w:val="bullet"/>
      <w:lvlText w:val=""/>
      <w:lvlJc w:val="left"/>
      <w:pPr>
        <w:tabs>
          <w:tab w:val="num" w:pos="5040"/>
        </w:tabs>
        <w:ind w:left="5040" w:hanging="360"/>
      </w:pPr>
      <w:rPr>
        <w:rFonts w:ascii="Wingdings 2" w:hAnsi="Wingdings 2" w:hint="default"/>
      </w:rPr>
    </w:lvl>
    <w:lvl w:ilvl="7" w:tplc="A49A52BC" w:tentative="1">
      <w:start w:val="1"/>
      <w:numFmt w:val="bullet"/>
      <w:lvlText w:val=""/>
      <w:lvlJc w:val="left"/>
      <w:pPr>
        <w:tabs>
          <w:tab w:val="num" w:pos="5760"/>
        </w:tabs>
        <w:ind w:left="5760" w:hanging="360"/>
      </w:pPr>
      <w:rPr>
        <w:rFonts w:ascii="Wingdings 2" w:hAnsi="Wingdings 2" w:hint="default"/>
      </w:rPr>
    </w:lvl>
    <w:lvl w:ilvl="8" w:tplc="54C465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B26EC5"/>
    <w:multiLevelType w:val="hybridMultilevel"/>
    <w:tmpl w:val="A248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48B8"/>
    <w:multiLevelType w:val="hybridMultilevel"/>
    <w:tmpl w:val="1BACFF96"/>
    <w:lvl w:ilvl="0" w:tplc="CD802250">
      <w:start w:val="1"/>
      <w:numFmt w:val="bullet"/>
      <w:lvlText w:val=""/>
      <w:lvlJc w:val="left"/>
      <w:pPr>
        <w:tabs>
          <w:tab w:val="num" w:pos="720"/>
        </w:tabs>
        <w:ind w:left="720" w:hanging="360"/>
      </w:pPr>
      <w:rPr>
        <w:rFonts w:ascii="Wingdings 2" w:hAnsi="Wingdings 2" w:hint="default"/>
      </w:rPr>
    </w:lvl>
    <w:lvl w:ilvl="1" w:tplc="B46077DE" w:tentative="1">
      <w:start w:val="1"/>
      <w:numFmt w:val="bullet"/>
      <w:lvlText w:val=""/>
      <w:lvlJc w:val="left"/>
      <w:pPr>
        <w:tabs>
          <w:tab w:val="num" w:pos="1440"/>
        </w:tabs>
        <w:ind w:left="1440" w:hanging="360"/>
      </w:pPr>
      <w:rPr>
        <w:rFonts w:ascii="Wingdings 2" w:hAnsi="Wingdings 2" w:hint="default"/>
      </w:rPr>
    </w:lvl>
    <w:lvl w:ilvl="2" w:tplc="EBAA6E44" w:tentative="1">
      <w:start w:val="1"/>
      <w:numFmt w:val="bullet"/>
      <w:lvlText w:val=""/>
      <w:lvlJc w:val="left"/>
      <w:pPr>
        <w:tabs>
          <w:tab w:val="num" w:pos="2160"/>
        </w:tabs>
        <w:ind w:left="2160" w:hanging="360"/>
      </w:pPr>
      <w:rPr>
        <w:rFonts w:ascii="Wingdings 2" w:hAnsi="Wingdings 2" w:hint="default"/>
      </w:rPr>
    </w:lvl>
    <w:lvl w:ilvl="3" w:tplc="962EE30A" w:tentative="1">
      <w:start w:val="1"/>
      <w:numFmt w:val="bullet"/>
      <w:lvlText w:val=""/>
      <w:lvlJc w:val="left"/>
      <w:pPr>
        <w:tabs>
          <w:tab w:val="num" w:pos="2880"/>
        </w:tabs>
        <w:ind w:left="2880" w:hanging="360"/>
      </w:pPr>
      <w:rPr>
        <w:rFonts w:ascii="Wingdings 2" w:hAnsi="Wingdings 2" w:hint="default"/>
      </w:rPr>
    </w:lvl>
    <w:lvl w:ilvl="4" w:tplc="8B5A9F54" w:tentative="1">
      <w:start w:val="1"/>
      <w:numFmt w:val="bullet"/>
      <w:lvlText w:val=""/>
      <w:lvlJc w:val="left"/>
      <w:pPr>
        <w:tabs>
          <w:tab w:val="num" w:pos="3600"/>
        </w:tabs>
        <w:ind w:left="3600" w:hanging="360"/>
      </w:pPr>
      <w:rPr>
        <w:rFonts w:ascii="Wingdings 2" w:hAnsi="Wingdings 2" w:hint="default"/>
      </w:rPr>
    </w:lvl>
    <w:lvl w:ilvl="5" w:tplc="F8B4979E" w:tentative="1">
      <w:start w:val="1"/>
      <w:numFmt w:val="bullet"/>
      <w:lvlText w:val=""/>
      <w:lvlJc w:val="left"/>
      <w:pPr>
        <w:tabs>
          <w:tab w:val="num" w:pos="4320"/>
        </w:tabs>
        <w:ind w:left="4320" w:hanging="360"/>
      </w:pPr>
      <w:rPr>
        <w:rFonts w:ascii="Wingdings 2" w:hAnsi="Wingdings 2" w:hint="default"/>
      </w:rPr>
    </w:lvl>
    <w:lvl w:ilvl="6" w:tplc="23F25924" w:tentative="1">
      <w:start w:val="1"/>
      <w:numFmt w:val="bullet"/>
      <w:lvlText w:val=""/>
      <w:lvlJc w:val="left"/>
      <w:pPr>
        <w:tabs>
          <w:tab w:val="num" w:pos="5040"/>
        </w:tabs>
        <w:ind w:left="5040" w:hanging="360"/>
      </w:pPr>
      <w:rPr>
        <w:rFonts w:ascii="Wingdings 2" w:hAnsi="Wingdings 2" w:hint="default"/>
      </w:rPr>
    </w:lvl>
    <w:lvl w:ilvl="7" w:tplc="493E540E" w:tentative="1">
      <w:start w:val="1"/>
      <w:numFmt w:val="bullet"/>
      <w:lvlText w:val=""/>
      <w:lvlJc w:val="left"/>
      <w:pPr>
        <w:tabs>
          <w:tab w:val="num" w:pos="5760"/>
        </w:tabs>
        <w:ind w:left="5760" w:hanging="360"/>
      </w:pPr>
      <w:rPr>
        <w:rFonts w:ascii="Wingdings 2" w:hAnsi="Wingdings 2" w:hint="default"/>
      </w:rPr>
    </w:lvl>
    <w:lvl w:ilvl="8" w:tplc="0CDE1D9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9617F8"/>
    <w:multiLevelType w:val="hybridMultilevel"/>
    <w:tmpl w:val="7B866A8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15:restartNumberingAfterBreak="0">
    <w:nsid w:val="255B542B"/>
    <w:multiLevelType w:val="hybridMultilevel"/>
    <w:tmpl w:val="8A30F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4E132C"/>
    <w:multiLevelType w:val="hybridMultilevel"/>
    <w:tmpl w:val="B38A62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AE1CD3"/>
    <w:multiLevelType w:val="hybridMultilevel"/>
    <w:tmpl w:val="EE2CD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604162"/>
    <w:multiLevelType w:val="hybridMultilevel"/>
    <w:tmpl w:val="00842C3E"/>
    <w:lvl w:ilvl="0" w:tplc="CB96B2E4">
      <w:start w:val="1"/>
      <w:numFmt w:val="bullet"/>
      <w:lvlText w:val=""/>
      <w:lvlJc w:val="left"/>
      <w:pPr>
        <w:tabs>
          <w:tab w:val="num" w:pos="720"/>
        </w:tabs>
        <w:ind w:left="720" w:hanging="360"/>
      </w:pPr>
      <w:rPr>
        <w:rFonts w:ascii="Wingdings 2" w:hAnsi="Wingdings 2" w:hint="default"/>
      </w:rPr>
    </w:lvl>
    <w:lvl w:ilvl="1" w:tplc="46080DF0" w:tentative="1">
      <w:start w:val="1"/>
      <w:numFmt w:val="bullet"/>
      <w:lvlText w:val=""/>
      <w:lvlJc w:val="left"/>
      <w:pPr>
        <w:tabs>
          <w:tab w:val="num" w:pos="1440"/>
        </w:tabs>
        <w:ind w:left="1440" w:hanging="360"/>
      </w:pPr>
      <w:rPr>
        <w:rFonts w:ascii="Wingdings 2" w:hAnsi="Wingdings 2" w:hint="default"/>
      </w:rPr>
    </w:lvl>
    <w:lvl w:ilvl="2" w:tplc="EDC6458C" w:tentative="1">
      <w:start w:val="1"/>
      <w:numFmt w:val="bullet"/>
      <w:lvlText w:val=""/>
      <w:lvlJc w:val="left"/>
      <w:pPr>
        <w:tabs>
          <w:tab w:val="num" w:pos="2160"/>
        </w:tabs>
        <w:ind w:left="2160" w:hanging="360"/>
      </w:pPr>
      <w:rPr>
        <w:rFonts w:ascii="Wingdings 2" w:hAnsi="Wingdings 2" w:hint="default"/>
      </w:rPr>
    </w:lvl>
    <w:lvl w:ilvl="3" w:tplc="9320B4FA" w:tentative="1">
      <w:start w:val="1"/>
      <w:numFmt w:val="bullet"/>
      <w:lvlText w:val=""/>
      <w:lvlJc w:val="left"/>
      <w:pPr>
        <w:tabs>
          <w:tab w:val="num" w:pos="2880"/>
        </w:tabs>
        <w:ind w:left="2880" w:hanging="360"/>
      </w:pPr>
      <w:rPr>
        <w:rFonts w:ascii="Wingdings 2" w:hAnsi="Wingdings 2" w:hint="default"/>
      </w:rPr>
    </w:lvl>
    <w:lvl w:ilvl="4" w:tplc="4CEE9D0E" w:tentative="1">
      <w:start w:val="1"/>
      <w:numFmt w:val="bullet"/>
      <w:lvlText w:val=""/>
      <w:lvlJc w:val="left"/>
      <w:pPr>
        <w:tabs>
          <w:tab w:val="num" w:pos="3600"/>
        </w:tabs>
        <w:ind w:left="3600" w:hanging="360"/>
      </w:pPr>
      <w:rPr>
        <w:rFonts w:ascii="Wingdings 2" w:hAnsi="Wingdings 2" w:hint="default"/>
      </w:rPr>
    </w:lvl>
    <w:lvl w:ilvl="5" w:tplc="CC2AFA82" w:tentative="1">
      <w:start w:val="1"/>
      <w:numFmt w:val="bullet"/>
      <w:lvlText w:val=""/>
      <w:lvlJc w:val="left"/>
      <w:pPr>
        <w:tabs>
          <w:tab w:val="num" w:pos="4320"/>
        </w:tabs>
        <w:ind w:left="4320" w:hanging="360"/>
      </w:pPr>
      <w:rPr>
        <w:rFonts w:ascii="Wingdings 2" w:hAnsi="Wingdings 2" w:hint="default"/>
      </w:rPr>
    </w:lvl>
    <w:lvl w:ilvl="6" w:tplc="128CF27C" w:tentative="1">
      <w:start w:val="1"/>
      <w:numFmt w:val="bullet"/>
      <w:lvlText w:val=""/>
      <w:lvlJc w:val="left"/>
      <w:pPr>
        <w:tabs>
          <w:tab w:val="num" w:pos="5040"/>
        </w:tabs>
        <w:ind w:left="5040" w:hanging="360"/>
      </w:pPr>
      <w:rPr>
        <w:rFonts w:ascii="Wingdings 2" w:hAnsi="Wingdings 2" w:hint="default"/>
      </w:rPr>
    </w:lvl>
    <w:lvl w:ilvl="7" w:tplc="48485A74" w:tentative="1">
      <w:start w:val="1"/>
      <w:numFmt w:val="bullet"/>
      <w:lvlText w:val=""/>
      <w:lvlJc w:val="left"/>
      <w:pPr>
        <w:tabs>
          <w:tab w:val="num" w:pos="5760"/>
        </w:tabs>
        <w:ind w:left="5760" w:hanging="360"/>
      </w:pPr>
      <w:rPr>
        <w:rFonts w:ascii="Wingdings 2" w:hAnsi="Wingdings 2" w:hint="default"/>
      </w:rPr>
    </w:lvl>
    <w:lvl w:ilvl="8" w:tplc="6BF4E5C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1DC32E2"/>
    <w:multiLevelType w:val="hybridMultilevel"/>
    <w:tmpl w:val="75A4B628"/>
    <w:lvl w:ilvl="0" w:tplc="8D464E6C">
      <w:start w:val="1"/>
      <w:numFmt w:val="bullet"/>
      <w:lvlText w:val=""/>
      <w:lvlJc w:val="left"/>
      <w:pPr>
        <w:tabs>
          <w:tab w:val="num" w:pos="720"/>
        </w:tabs>
        <w:ind w:left="720" w:hanging="360"/>
      </w:pPr>
      <w:rPr>
        <w:rFonts w:ascii="Wingdings 2" w:hAnsi="Wingdings 2" w:hint="default"/>
      </w:rPr>
    </w:lvl>
    <w:lvl w:ilvl="1" w:tplc="18889FAC" w:tentative="1">
      <w:start w:val="1"/>
      <w:numFmt w:val="bullet"/>
      <w:lvlText w:val=""/>
      <w:lvlJc w:val="left"/>
      <w:pPr>
        <w:tabs>
          <w:tab w:val="num" w:pos="1440"/>
        </w:tabs>
        <w:ind w:left="1440" w:hanging="360"/>
      </w:pPr>
      <w:rPr>
        <w:rFonts w:ascii="Wingdings 2" w:hAnsi="Wingdings 2" w:hint="default"/>
      </w:rPr>
    </w:lvl>
    <w:lvl w:ilvl="2" w:tplc="22440A12" w:tentative="1">
      <w:start w:val="1"/>
      <w:numFmt w:val="bullet"/>
      <w:lvlText w:val=""/>
      <w:lvlJc w:val="left"/>
      <w:pPr>
        <w:tabs>
          <w:tab w:val="num" w:pos="2160"/>
        </w:tabs>
        <w:ind w:left="2160" w:hanging="360"/>
      </w:pPr>
      <w:rPr>
        <w:rFonts w:ascii="Wingdings 2" w:hAnsi="Wingdings 2" w:hint="default"/>
      </w:rPr>
    </w:lvl>
    <w:lvl w:ilvl="3" w:tplc="B448B430" w:tentative="1">
      <w:start w:val="1"/>
      <w:numFmt w:val="bullet"/>
      <w:lvlText w:val=""/>
      <w:lvlJc w:val="left"/>
      <w:pPr>
        <w:tabs>
          <w:tab w:val="num" w:pos="2880"/>
        </w:tabs>
        <w:ind w:left="2880" w:hanging="360"/>
      </w:pPr>
      <w:rPr>
        <w:rFonts w:ascii="Wingdings 2" w:hAnsi="Wingdings 2" w:hint="default"/>
      </w:rPr>
    </w:lvl>
    <w:lvl w:ilvl="4" w:tplc="48F2D2A0" w:tentative="1">
      <w:start w:val="1"/>
      <w:numFmt w:val="bullet"/>
      <w:lvlText w:val=""/>
      <w:lvlJc w:val="left"/>
      <w:pPr>
        <w:tabs>
          <w:tab w:val="num" w:pos="3600"/>
        </w:tabs>
        <w:ind w:left="3600" w:hanging="360"/>
      </w:pPr>
      <w:rPr>
        <w:rFonts w:ascii="Wingdings 2" w:hAnsi="Wingdings 2" w:hint="default"/>
      </w:rPr>
    </w:lvl>
    <w:lvl w:ilvl="5" w:tplc="C472D016" w:tentative="1">
      <w:start w:val="1"/>
      <w:numFmt w:val="bullet"/>
      <w:lvlText w:val=""/>
      <w:lvlJc w:val="left"/>
      <w:pPr>
        <w:tabs>
          <w:tab w:val="num" w:pos="4320"/>
        </w:tabs>
        <w:ind w:left="4320" w:hanging="360"/>
      </w:pPr>
      <w:rPr>
        <w:rFonts w:ascii="Wingdings 2" w:hAnsi="Wingdings 2" w:hint="default"/>
      </w:rPr>
    </w:lvl>
    <w:lvl w:ilvl="6" w:tplc="960609EC" w:tentative="1">
      <w:start w:val="1"/>
      <w:numFmt w:val="bullet"/>
      <w:lvlText w:val=""/>
      <w:lvlJc w:val="left"/>
      <w:pPr>
        <w:tabs>
          <w:tab w:val="num" w:pos="5040"/>
        </w:tabs>
        <w:ind w:left="5040" w:hanging="360"/>
      </w:pPr>
      <w:rPr>
        <w:rFonts w:ascii="Wingdings 2" w:hAnsi="Wingdings 2" w:hint="default"/>
      </w:rPr>
    </w:lvl>
    <w:lvl w:ilvl="7" w:tplc="198C6742" w:tentative="1">
      <w:start w:val="1"/>
      <w:numFmt w:val="bullet"/>
      <w:lvlText w:val=""/>
      <w:lvlJc w:val="left"/>
      <w:pPr>
        <w:tabs>
          <w:tab w:val="num" w:pos="5760"/>
        </w:tabs>
        <w:ind w:left="5760" w:hanging="360"/>
      </w:pPr>
      <w:rPr>
        <w:rFonts w:ascii="Wingdings 2" w:hAnsi="Wingdings 2" w:hint="default"/>
      </w:rPr>
    </w:lvl>
    <w:lvl w:ilvl="8" w:tplc="C3F2C49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D1359F1"/>
    <w:multiLevelType w:val="hybridMultilevel"/>
    <w:tmpl w:val="79424970"/>
    <w:lvl w:ilvl="0" w:tplc="D3C0030E">
      <w:start w:val="1"/>
      <w:numFmt w:val="bullet"/>
      <w:lvlText w:val=""/>
      <w:lvlJc w:val="left"/>
      <w:pPr>
        <w:tabs>
          <w:tab w:val="num" w:pos="720"/>
        </w:tabs>
        <w:ind w:left="720" w:hanging="360"/>
      </w:pPr>
      <w:rPr>
        <w:rFonts w:ascii="Wingdings 2" w:hAnsi="Wingdings 2" w:hint="default"/>
      </w:rPr>
    </w:lvl>
    <w:lvl w:ilvl="1" w:tplc="970642AE" w:tentative="1">
      <w:start w:val="1"/>
      <w:numFmt w:val="bullet"/>
      <w:lvlText w:val=""/>
      <w:lvlJc w:val="left"/>
      <w:pPr>
        <w:tabs>
          <w:tab w:val="num" w:pos="1440"/>
        </w:tabs>
        <w:ind w:left="1440" w:hanging="360"/>
      </w:pPr>
      <w:rPr>
        <w:rFonts w:ascii="Wingdings 2" w:hAnsi="Wingdings 2" w:hint="default"/>
      </w:rPr>
    </w:lvl>
    <w:lvl w:ilvl="2" w:tplc="A0E621C8" w:tentative="1">
      <w:start w:val="1"/>
      <w:numFmt w:val="bullet"/>
      <w:lvlText w:val=""/>
      <w:lvlJc w:val="left"/>
      <w:pPr>
        <w:tabs>
          <w:tab w:val="num" w:pos="2160"/>
        </w:tabs>
        <w:ind w:left="2160" w:hanging="360"/>
      </w:pPr>
      <w:rPr>
        <w:rFonts w:ascii="Wingdings 2" w:hAnsi="Wingdings 2" w:hint="default"/>
      </w:rPr>
    </w:lvl>
    <w:lvl w:ilvl="3" w:tplc="37123752" w:tentative="1">
      <w:start w:val="1"/>
      <w:numFmt w:val="bullet"/>
      <w:lvlText w:val=""/>
      <w:lvlJc w:val="left"/>
      <w:pPr>
        <w:tabs>
          <w:tab w:val="num" w:pos="2880"/>
        </w:tabs>
        <w:ind w:left="2880" w:hanging="360"/>
      </w:pPr>
      <w:rPr>
        <w:rFonts w:ascii="Wingdings 2" w:hAnsi="Wingdings 2" w:hint="default"/>
      </w:rPr>
    </w:lvl>
    <w:lvl w:ilvl="4" w:tplc="96D4BA34" w:tentative="1">
      <w:start w:val="1"/>
      <w:numFmt w:val="bullet"/>
      <w:lvlText w:val=""/>
      <w:lvlJc w:val="left"/>
      <w:pPr>
        <w:tabs>
          <w:tab w:val="num" w:pos="3600"/>
        </w:tabs>
        <w:ind w:left="3600" w:hanging="360"/>
      </w:pPr>
      <w:rPr>
        <w:rFonts w:ascii="Wingdings 2" w:hAnsi="Wingdings 2" w:hint="default"/>
      </w:rPr>
    </w:lvl>
    <w:lvl w:ilvl="5" w:tplc="0ED8C254" w:tentative="1">
      <w:start w:val="1"/>
      <w:numFmt w:val="bullet"/>
      <w:lvlText w:val=""/>
      <w:lvlJc w:val="left"/>
      <w:pPr>
        <w:tabs>
          <w:tab w:val="num" w:pos="4320"/>
        </w:tabs>
        <w:ind w:left="4320" w:hanging="360"/>
      </w:pPr>
      <w:rPr>
        <w:rFonts w:ascii="Wingdings 2" w:hAnsi="Wingdings 2" w:hint="default"/>
      </w:rPr>
    </w:lvl>
    <w:lvl w:ilvl="6" w:tplc="A67A28D6" w:tentative="1">
      <w:start w:val="1"/>
      <w:numFmt w:val="bullet"/>
      <w:lvlText w:val=""/>
      <w:lvlJc w:val="left"/>
      <w:pPr>
        <w:tabs>
          <w:tab w:val="num" w:pos="5040"/>
        </w:tabs>
        <w:ind w:left="5040" w:hanging="360"/>
      </w:pPr>
      <w:rPr>
        <w:rFonts w:ascii="Wingdings 2" w:hAnsi="Wingdings 2" w:hint="default"/>
      </w:rPr>
    </w:lvl>
    <w:lvl w:ilvl="7" w:tplc="054479F8" w:tentative="1">
      <w:start w:val="1"/>
      <w:numFmt w:val="bullet"/>
      <w:lvlText w:val=""/>
      <w:lvlJc w:val="left"/>
      <w:pPr>
        <w:tabs>
          <w:tab w:val="num" w:pos="5760"/>
        </w:tabs>
        <w:ind w:left="5760" w:hanging="360"/>
      </w:pPr>
      <w:rPr>
        <w:rFonts w:ascii="Wingdings 2" w:hAnsi="Wingdings 2" w:hint="default"/>
      </w:rPr>
    </w:lvl>
    <w:lvl w:ilvl="8" w:tplc="868E7C1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7B37AF8"/>
    <w:multiLevelType w:val="hybridMultilevel"/>
    <w:tmpl w:val="2D30F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0579F8"/>
    <w:multiLevelType w:val="hybridMultilevel"/>
    <w:tmpl w:val="D3B8E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34ADE"/>
    <w:multiLevelType w:val="hybridMultilevel"/>
    <w:tmpl w:val="F9C6C842"/>
    <w:lvl w:ilvl="0" w:tplc="FE4648DE">
      <w:start w:val="1"/>
      <w:numFmt w:val="bullet"/>
      <w:lvlText w:val=""/>
      <w:lvlJc w:val="left"/>
      <w:pPr>
        <w:tabs>
          <w:tab w:val="num" w:pos="720"/>
        </w:tabs>
        <w:ind w:left="720" w:hanging="360"/>
      </w:pPr>
      <w:rPr>
        <w:rFonts w:ascii="Wingdings 2" w:hAnsi="Wingdings 2" w:hint="default"/>
      </w:rPr>
    </w:lvl>
    <w:lvl w:ilvl="1" w:tplc="CBBA3B06" w:tentative="1">
      <w:start w:val="1"/>
      <w:numFmt w:val="bullet"/>
      <w:lvlText w:val=""/>
      <w:lvlJc w:val="left"/>
      <w:pPr>
        <w:tabs>
          <w:tab w:val="num" w:pos="1440"/>
        </w:tabs>
        <w:ind w:left="1440" w:hanging="360"/>
      </w:pPr>
      <w:rPr>
        <w:rFonts w:ascii="Wingdings 2" w:hAnsi="Wingdings 2" w:hint="default"/>
      </w:rPr>
    </w:lvl>
    <w:lvl w:ilvl="2" w:tplc="AEF209D8" w:tentative="1">
      <w:start w:val="1"/>
      <w:numFmt w:val="bullet"/>
      <w:lvlText w:val=""/>
      <w:lvlJc w:val="left"/>
      <w:pPr>
        <w:tabs>
          <w:tab w:val="num" w:pos="2160"/>
        </w:tabs>
        <w:ind w:left="2160" w:hanging="360"/>
      </w:pPr>
      <w:rPr>
        <w:rFonts w:ascii="Wingdings 2" w:hAnsi="Wingdings 2" w:hint="default"/>
      </w:rPr>
    </w:lvl>
    <w:lvl w:ilvl="3" w:tplc="E6E0B118" w:tentative="1">
      <w:start w:val="1"/>
      <w:numFmt w:val="bullet"/>
      <w:lvlText w:val=""/>
      <w:lvlJc w:val="left"/>
      <w:pPr>
        <w:tabs>
          <w:tab w:val="num" w:pos="2880"/>
        </w:tabs>
        <w:ind w:left="2880" w:hanging="360"/>
      </w:pPr>
      <w:rPr>
        <w:rFonts w:ascii="Wingdings 2" w:hAnsi="Wingdings 2" w:hint="default"/>
      </w:rPr>
    </w:lvl>
    <w:lvl w:ilvl="4" w:tplc="9CD64764" w:tentative="1">
      <w:start w:val="1"/>
      <w:numFmt w:val="bullet"/>
      <w:lvlText w:val=""/>
      <w:lvlJc w:val="left"/>
      <w:pPr>
        <w:tabs>
          <w:tab w:val="num" w:pos="3600"/>
        </w:tabs>
        <w:ind w:left="3600" w:hanging="360"/>
      </w:pPr>
      <w:rPr>
        <w:rFonts w:ascii="Wingdings 2" w:hAnsi="Wingdings 2" w:hint="default"/>
      </w:rPr>
    </w:lvl>
    <w:lvl w:ilvl="5" w:tplc="2F0C2E9A" w:tentative="1">
      <w:start w:val="1"/>
      <w:numFmt w:val="bullet"/>
      <w:lvlText w:val=""/>
      <w:lvlJc w:val="left"/>
      <w:pPr>
        <w:tabs>
          <w:tab w:val="num" w:pos="4320"/>
        </w:tabs>
        <w:ind w:left="4320" w:hanging="360"/>
      </w:pPr>
      <w:rPr>
        <w:rFonts w:ascii="Wingdings 2" w:hAnsi="Wingdings 2" w:hint="default"/>
      </w:rPr>
    </w:lvl>
    <w:lvl w:ilvl="6" w:tplc="4CD63122" w:tentative="1">
      <w:start w:val="1"/>
      <w:numFmt w:val="bullet"/>
      <w:lvlText w:val=""/>
      <w:lvlJc w:val="left"/>
      <w:pPr>
        <w:tabs>
          <w:tab w:val="num" w:pos="5040"/>
        </w:tabs>
        <w:ind w:left="5040" w:hanging="360"/>
      </w:pPr>
      <w:rPr>
        <w:rFonts w:ascii="Wingdings 2" w:hAnsi="Wingdings 2" w:hint="default"/>
      </w:rPr>
    </w:lvl>
    <w:lvl w:ilvl="7" w:tplc="46E4F470" w:tentative="1">
      <w:start w:val="1"/>
      <w:numFmt w:val="bullet"/>
      <w:lvlText w:val=""/>
      <w:lvlJc w:val="left"/>
      <w:pPr>
        <w:tabs>
          <w:tab w:val="num" w:pos="5760"/>
        </w:tabs>
        <w:ind w:left="5760" w:hanging="360"/>
      </w:pPr>
      <w:rPr>
        <w:rFonts w:ascii="Wingdings 2" w:hAnsi="Wingdings 2" w:hint="default"/>
      </w:rPr>
    </w:lvl>
    <w:lvl w:ilvl="8" w:tplc="14B82D4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8FD591E"/>
    <w:multiLevelType w:val="multilevel"/>
    <w:tmpl w:val="4F608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B37A1"/>
    <w:multiLevelType w:val="hybridMultilevel"/>
    <w:tmpl w:val="CE0E7426"/>
    <w:lvl w:ilvl="0" w:tplc="7026C5CA">
      <w:start w:val="1"/>
      <w:numFmt w:val="bullet"/>
      <w:lvlText w:val=""/>
      <w:lvlJc w:val="left"/>
      <w:pPr>
        <w:tabs>
          <w:tab w:val="num" w:pos="720"/>
        </w:tabs>
        <w:ind w:left="720" w:hanging="360"/>
      </w:pPr>
      <w:rPr>
        <w:rFonts w:ascii="Wingdings 2" w:hAnsi="Wingdings 2" w:hint="default"/>
      </w:rPr>
    </w:lvl>
    <w:lvl w:ilvl="1" w:tplc="72E08AC4" w:tentative="1">
      <w:start w:val="1"/>
      <w:numFmt w:val="bullet"/>
      <w:lvlText w:val=""/>
      <w:lvlJc w:val="left"/>
      <w:pPr>
        <w:tabs>
          <w:tab w:val="num" w:pos="1440"/>
        </w:tabs>
        <w:ind w:left="1440" w:hanging="360"/>
      </w:pPr>
      <w:rPr>
        <w:rFonts w:ascii="Wingdings 2" w:hAnsi="Wingdings 2" w:hint="default"/>
      </w:rPr>
    </w:lvl>
    <w:lvl w:ilvl="2" w:tplc="27463082" w:tentative="1">
      <w:start w:val="1"/>
      <w:numFmt w:val="bullet"/>
      <w:lvlText w:val=""/>
      <w:lvlJc w:val="left"/>
      <w:pPr>
        <w:tabs>
          <w:tab w:val="num" w:pos="2160"/>
        </w:tabs>
        <w:ind w:left="2160" w:hanging="360"/>
      </w:pPr>
      <w:rPr>
        <w:rFonts w:ascii="Wingdings 2" w:hAnsi="Wingdings 2" w:hint="default"/>
      </w:rPr>
    </w:lvl>
    <w:lvl w:ilvl="3" w:tplc="38A43C1C" w:tentative="1">
      <w:start w:val="1"/>
      <w:numFmt w:val="bullet"/>
      <w:lvlText w:val=""/>
      <w:lvlJc w:val="left"/>
      <w:pPr>
        <w:tabs>
          <w:tab w:val="num" w:pos="2880"/>
        </w:tabs>
        <w:ind w:left="2880" w:hanging="360"/>
      </w:pPr>
      <w:rPr>
        <w:rFonts w:ascii="Wingdings 2" w:hAnsi="Wingdings 2" w:hint="default"/>
      </w:rPr>
    </w:lvl>
    <w:lvl w:ilvl="4" w:tplc="792E5484" w:tentative="1">
      <w:start w:val="1"/>
      <w:numFmt w:val="bullet"/>
      <w:lvlText w:val=""/>
      <w:lvlJc w:val="left"/>
      <w:pPr>
        <w:tabs>
          <w:tab w:val="num" w:pos="3600"/>
        </w:tabs>
        <w:ind w:left="3600" w:hanging="360"/>
      </w:pPr>
      <w:rPr>
        <w:rFonts w:ascii="Wingdings 2" w:hAnsi="Wingdings 2" w:hint="default"/>
      </w:rPr>
    </w:lvl>
    <w:lvl w:ilvl="5" w:tplc="BE8CA80C" w:tentative="1">
      <w:start w:val="1"/>
      <w:numFmt w:val="bullet"/>
      <w:lvlText w:val=""/>
      <w:lvlJc w:val="left"/>
      <w:pPr>
        <w:tabs>
          <w:tab w:val="num" w:pos="4320"/>
        </w:tabs>
        <w:ind w:left="4320" w:hanging="360"/>
      </w:pPr>
      <w:rPr>
        <w:rFonts w:ascii="Wingdings 2" w:hAnsi="Wingdings 2" w:hint="default"/>
      </w:rPr>
    </w:lvl>
    <w:lvl w:ilvl="6" w:tplc="78B64BE0" w:tentative="1">
      <w:start w:val="1"/>
      <w:numFmt w:val="bullet"/>
      <w:lvlText w:val=""/>
      <w:lvlJc w:val="left"/>
      <w:pPr>
        <w:tabs>
          <w:tab w:val="num" w:pos="5040"/>
        </w:tabs>
        <w:ind w:left="5040" w:hanging="360"/>
      </w:pPr>
      <w:rPr>
        <w:rFonts w:ascii="Wingdings 2" w:hAnsi="Wingdings 2" w:hint="default"/>
      </w:rPr>
    </w:lvl>
    <w:lvl w:ilvl="7" w:tplc="35A68C08" w:tentative="1">
      <w:start w:val="1"/>
      <w:numFmt w:val="bullet"/>
      <w:lvlText w:val=""/>
      <w:lvlJc w:val="left"/>
      <w:pPr>
        <w:tabs>
          <w:tab w:val="num" w:pos="5760"/>
        </w:tabs>
        <w:ind w:left="5760" w:hanging="360"/>
      </w:pPr>
      <w:rPr>
        <w:rFonts w:ascii="Wingdings 2" w:hAnsi="Wingdings 2" w:hint="default"/>
      </w:rPr>
    </w:lvl>
    <w:lvl w:ilvl="8" w:tplc="9ADECCC8" w:tentative="1">
      <w:start w:val="1"/>
      <w:numFmt w:val="bullet"/>
      <w:lvlText w:val=""/>
      <w:lvlJc w:val="left"/>
      <w:pPr>
        <w:tabs>
          <w:tab w:val="num" w:pos="6480"/>
        </w:tabs>
        <w:ind w:left="6480" w:hanging="360"/>
      </w:pPr>
      <w:rPr>
        <w:rFonts w:ascii="Wingdings 2" w:hAnsi="Wingdings 2" w:hint="default"/>
      </w:rPr>
    </w:lvl>
  </w:abstractNum>
  <w:num w:numId="1" w16cid:durableId="1231887063">
    <w:abstractNumId w:val="6"/>
  </w:num>
  <w:num w:numId="2" w16cid:durableId="1261571091">
    <w:abstractNumId w:val="15"/>
  </w:num>
  <w:num w:numId="3" w16cid:durableId="1830249039">
    <w:abstractNumId w:val="4"/>
  </w:num>
  <w:num w:numId="4" w16cid:durableId="1229000473">
    <w:abstractNumId w:val="13"/>
  </w:num>
  <w:num w:numId="5" w16cid:durableId="2088991445">
    <w:abstractNumId w:val="2"/>
  </w:num>
  <w:num w:numId="6" w16cid:durableId="1429765619">
    <w:abstractNumId w:val="14"/>
  </w:num>
  <w:num w:numId="7" w16cid:durableId="1076786829">
    <w:abstractNumId w:val="16"/>
  </w:num>
  <w:num w:numId="8" w16cid:durableId="594291065">
    <w:abstractNumId w:val="0"/>
  </w:num>
  <w:num w:numId="9" w16cid:durableId="298458418">
    <w:abstractNumId w:val="3"/>
  </w:num>
  <w:num w:numId="10" w16cid:durableId="1398357">
    <w:abstractNumId w:val="10"/>
  </w:num>
  <w:num w:numId="11" w16cid:durableId="1462841676">
    <w:abstractNumId w:val="11"/>
  </w:num>
  <w:num w:numId="12" w16cid:durableId="1530143612">
    <w:abstractNumId w:val="1"/>
  </w:num>
  <w:num w:numId="13" w16cid:durableId="1420061018">
    <w:abstractNumId w:val="9"/>
  </w:num>
  <w:num w:numId="14" w16cid:durableId="232351731">
    <w:abstractNumId w:val="7"/>
  </w:num>
  <w:num w:numId="15" w16cid:durableId="1546717095">
    <w:abstractNumId w:val="5"/>
  </w:num>
  <w:num w:numId="16" w16cid:durableId="1628775762">
    <w:abstractNumId w:val="12"/>
  </w:num>
  <w:num w:numId="17" w16cid:durableId="2009213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54"/>
    <w:rsid w:val="000003C6"/>
    <w:rsid w:val="000066DC"/>
    <w:rsid w:val="000069B4"/>
    <w:rsid w:val="00017D2A"/>
    <w:rsid w:val="00026E5D"/>
    <w:rsid w:val="00026EC4"/>
    <w:rsid w:val="00027298"/>
    <w:rsid w:val="00032EF7"/>
    <w:rsid w:val="000443DB"/>
    <w:rsid w:val="000506AC"/>
    <w:rsid w:val="00056A61"/>
    <w:rsid w:val="000606C8"/>
    <w:rsid w:val="00066977"/>
    <w:rsid w:val="00073DD8"/>
    <w:rsid w:val="0008294B"/>
    <w:rsid w:val="00083C88"/>
    <w:rsid w:val="00084F58"/>
    <w:rsid w:val="00085EF7"/>
    <w:rsid w:val="00090432"/>
    <w:rsid w:val="000963D0"/>
    <w:rsid w:val="00096552"/>
    <w:rsid w:val="000A3A11"/>
    <w:rsid w:val="000A44DB"/>
    <w:rsid w:val="000B0733"/>
    <w:rsid w:val="000B7CB4"/>
    <w:rsid w:val="000C1B6B"/>
    <w:rsid w:val="000C35B8"/>
    <w:rsid w:val="000C65CE"/>
    <w:rsid w:val="000C74BC"/>
    <w:rsid w:val="000D6F10"/>
    <w:rsid w:val="000E1032"/>
    <w:rsid w:val="000E2D79"/>
    <w:rsid w:val="000F0C0D"/>
    <w:rsid w:val="000F574C"/>
    <w:rsid w:val="001069D9"/>
    <w:rsid w:val="00106FD7"/>
    <w:rsid w:val="001072A6"/>
    <w:rsid w:val="00112023"/>
    <w:rsid w:val="00113F4A"/>
    <w:rsid w:val="00116756"/>
    <w:rsid w:val="00117D96"/>
    <w:rsid w:val="00121A11"/>
    <w:rsid w:val="00124CE2"/>
    <w:rsid w:val="001265E9"/>
    <w:rsid w:val="001309D9"/>
    <w:rsid w:val="00131957"/>
    <w:rsid w:val="00132B05"/>
    <w:rsid w:val="001405C0"/>
    <w:rsid w:val="00142989"/>
    <w:rsid w:val="00146D02"/>
    <w:rsid w:val="00147456"/>
    <w:rsid w:val="00150D08"/>
    <w:rsid w:val="001512E8"/>
    <w:rsid w:val="00151E48"/>
    <w:rsid w:val="001553A7"/>
    <w:rsid w:val="001578DB"/>
    <w:rsid w:val="0017305F"/>
    <w:rsid w:val="001916F8"/>
    <w:rsid w:val="0019267F"/>
    <w:rsid w:val="00194673"/>
    <w:rsid w:val="00194D5F"/>
    <w:rsid w:val="0019602A"/>
    <w:rsid w:val="001A3BCC"/>
    <w:rsid w:val="001A567C"/>
    <w:rsid w:val="001A70DF"/>
    <w:rsid w:val="001A7B0D"/>
    <w:rsid w:val="001B190E"/>
    <w:rsid w:val="001B29AE"/>
    <w:rsid w:val="001B4F40"/>
    <w:rsid w:val="001C44EE"/>
    <w:rsid w:val="001C53FE"/>
    <w:rsid w:val="001E2D87"/>
    <w:rsid w:val="001E435A"/>
    <w:rsid w:val="001E7B7E"/>
    <w:rsid w:val="001F057C"/>
    <w:rsid w:val="001F1F95"/>
    <w:rsid w:val="001F2C19"/>
    <w:rsid w:val="001F4324"/>
    <w:rsid w:val="00200FE7"/>
    <w:rsid w:val="00210A26"/>
    <w:rsid w:val="00216DAC"/>
    <w:rsid w:val="002245F0"/>
    <w:rsid w:val="00224DC0"/>
    <w:rsid w:val="00226255"/>
    <w:rsid w:val="00226454"/>
    <w:rsid w:val="002346DA"/>
    <w:rsid w:val="002516CA"/>
    <w:rsid w:val="00255EB0"/>
    <w:rsid w:val="00261B52"/>
    <w:rsid w:val="0026589F"/>
    <w:rsid w:val="00266E66"/>
    <w:rsid w:val="002673D8"/>
    <w:rsid w:val="002814EC"/>
    <w:rsid w:val="00282167"/>
    <w:rsid w:val="00282721"/>
    <w:rsid w:val="00283097"/>
    <w:rsid w:val="00284884"/>
    <w:rsid w:val="00285769"/>
    <w:rsid w:val="00287F9F"/>
    <w:rsid w:val="00290C95"/>
    <w:rsid w:val="00294C3D"/>
    <w:rsid w:val="002A18AF"/>
    <w:rsid w:val="002A25C0"/>
    <w:rsid w:val="002A4220"/>
    <w:rsid w:val="002A517D"/>
    <w:rsid w:val="002A74A7"/>
    <w:rsid w:val="002B047F"/>
    <w:rsid w:val="002C5D1B"/>
    <w:rsid w:val="002C77B8"/>
    <w:rsid w:val="002D72C8"/>
    <w:rsid w:val="002E03A4"/>
    <w:rsid w:val="002E1C57"/>
    <w:rsid w:val="002E6CD7"/>
    <w:rsid w:val="002E78AA"/>
    <w:rsid w:val="002F3933"/>
    <w:rsid w:val="002F3B07"/>
    <w:rsid w:val="002F49B6"/>
    <w:rsid w:val="002F6587"/>
    <w:rsid w:val="002F6D79"/>
    <w:rsid w:val="00300684"/>
    <w:rsid w:val="00303070"/>
    <w:rsid w:val="0030704F"/>
    <w:rsid w:val="0031209A"/>
    <w:rsid w:val="00313F6D"/>
    <w:rsid w:val="003148EC"/>
    <w:rsid w:val="003154E6"/>
    <w:rsid w:val="00320375"/>
    <w:rsid w:val="00324413"/>
    <w:rsid w:val="00334EB1"/>
    <w:rsid w:val="003427F6"/>
    <w:rsid w:val="00353EF2"/>
    <w:rsid w:val="003540D1"/>
    <w:rsid w:val="00354C1B"/>
    <w:rsid w:val="00363EC5"/>
    <w:rsid w:val="0036465D"/>
    <w:rsid w:val="00364F86"/>
    <w:rsid w:val="003737EE"/>
    <w:rsid w:val="00377ED2"/>
    <w:rsid w:val="003856D4"/>
    <w:rsid w:val="00387582"/>
    <w:rsid w:val="003925BE"/>
    <w:rsid w:val="00393F9E"/>
    <w:rsid w:val="0039504F"/>
    <w:rsid w:val="003969DA"/>
    <w:rsid w:val="003C0052"/>
    <w:rsid w:val="003C591C"/>
    <w:rsid w:val="003C6636"/>
    <w:rsid w:val="003C760F"/>
    <w:rsid w:val="003D3666"/>
    <w:rsid w:val="003D5FCE"/>
    <w:rsid w:val="003D79DD"/>
    <w:rsid w:val="003E1591"/>
    <w:rsid w:val="003F1543"/>
    <w:rsid w:val="003F16E1"/>
    <w:rsid w:val="003F3306"/>
    <w:rsid w:val="003F34A4"/>
    <w:rsid w:val="0040280A"/>
    <w:rsid w:val="0040499D"/>
    <w:rsid w:val="0041131F"/>
    <w:rsid w:val="0041351C"/>
    <w:rsid w:val="0041402E"/>
    <w:rsid w:val="004152B3"/>
    <w:rsid w:val="00416CDB"/>
    <w:rsid w:val="00417083"/>
    <w:rsid w:val="00420CBD"/>
    <w:rsid w:val="00424130"/>
    <w:rsid w:val="0042417B"/>
    <w:rsid w:val="004312DE"/>
    <w:rsid w:val="004367EE"/>
    <w:rsid w:val="00447298"/>
    <w:rsid w:val="00447DCC"/>
    <w:rsid w:val="0045579C"/>
    <w:rsid w:val="004564D6"/>
    <w:rsid w:val="00465AF0"/>
    <w:rsid w:val="0047313F"/>
    <w:rsid w:val="0048250B"/>
    <w:rsid w:val="00497A15"/>
    <w:rsid w:val="004A0382"/>
    <w:rsid w:val="004A3ECD"/>
    <w:rsid w:val="004A419A"/>
    <w:rsid w:val="004A75FB"/>
    <w:rsid w:val="004C4E56"/>
    <w:rsid w:val="004C6A1E"/>
    <w:rsid w:val="004C780F"/>
    <w:rsid w:val="004D212D"/>
    <w:rsid w:val="004D3517"/>
    <w:rsid w:val="004D50B6"/>
    <w:rsid w:val="004D76CF"/>
    <w:rsid w:val="004E013E"/>
    <w:rsid w:val="004E30BE"/>
    <w:rsid w:val="004F0489"/>
    <w:rsid w:val="004F0C07"/>
    <w:rsid w:val="004F6CF1"/>
    <w:rsid w:val="00505C14"/>
    <w:rsid w:val="0051299B"/>
    <w:rsid w:val="0051462D"/>
    <w:rsid w:val="00516914"/>
    <w:rsid w:val="00527EE5"/>
    <w:rsid w:val="0053112D"/>
    <w:rsid w:val="00540048"/>
    <w:rsid w:val="00542569"/>
    <w:rsid w:val="005438FA"/>
    <w:rsid w:val="005452D2"/>
    <w:rsid w:val="0054751A"/>
    <w:rsid w:val="00547A79"/>
    <w:rsid w:val="00551D0E"/>
    <w:rsid w:val="00561D05"/>
    <w:rsid w:val="00567618"/>
    <w:rsid w:val="00567B49"/>
    <w:rsid w:val="00573427"/>
    <w:rsid w:val="005773BC"/>
    <w:rsid w:val="00581C8E"/>
    <w:rsid w:val="00586B1C"/>
    <w:rsid w:val="00592DC3"/>
    <w:rsid w:val="00594616"/>
    <w:rsid w:val="00594821"/>
    <w:rsid w:val="005A21AA"/>
    <w:rsid w:val="005A573A"/>
    <w:rsid w:val="005A6274"/>
    <w:rsid w:val="005B0FFE"/>
    <w:rsid w:val="005B270D"/>
    <w:rsid w:val="005B2D2F"/>
    <w:rsid w:val="005B521F"/>
    <w:rsid w:val="005B7459"/>
    <w:rsid w:val="005C1C07"/>
    <w:rsid w:val="005C220B"/>
    <w:rsid w:val="005C3822"/>
    <w:rsid w:val="005C40A9"/>
    <w:rsid w:val="005C556B"/>
    <w:rsid w:val="005C57E6"/>
    <w:rsid w:val="005D1302"/>
    <w:rsid w:val="005D1394"/>
    <w:rsid w:val="005D1998"/>
    <w:rsid w:val="005E3960"/>
    <w:rsid w:val="005F182C"/>
    <w:rsid w:val="005F344B"/>
    <w:rsid w:val="005F6CC7"/>
    <w:rsid w:val="006006D5"/>
    <w:rsid w:val="00601B9D"/>
    <w:rsid w:val="00602446"/>
    <w:rsid w:val="00606864"/>
    <w:rsid w:val="00607A16"/>
    <w:rsid w:val="00611262"/>
    <w:rsid w:val="00613156"/>
    <w:rsid w:val="00617F3E"/>
    <w:rsid w:val="00622163"/>
    <w:rsid w:val="00625898"/>
    <w:rsid w:val="006321F1"/>
    <w:rsid w:val="0063460A"/>
    <w:rsid w:val="006406DA"/>
    <w:rsid w:val="006413B0"/>
    <w:rsid w:val="00642E2B"/>
    <w:rsid w:val="00643268"/>
    <w:rsid w:val="00644940"/>
    <w:rsid w:val="00647D02"/>
    <w:rsid w:val="00647DDE"/>
    <w:rsid w:val="00655A16"/>
    <w:rsid w:val="00655D9E"/>
    <w:rsid w:val="00660101"/>
    <w:rsid w:val="00661C9E"/>
    <w:rsid w:val="00666D2D"/>
    <w:rsid w:val="00670C9D"/>
    <w:rsid w:val="00671DB6"/>
    <w:rsid w:val="00677BC6"/>
    <w:rsid w:val="006814A6"/>
    <w:rsid w:val="0068402D"/>
    <w:rsid w:val="00695D3E"/>
    <w:rsid w:val="0069689D"/>
    <w:rsid w:val="006A0852"/>
    <w:rsid w:val="006A700F"/>
    <w:rsid w:val="006A77AE"/>
    <w:rsid w:val="006B0C6F"/>
    <w:rsid w:val="006B3C83"/>
    <w:rsid w:val="006C26A3"/>
    <w:rsid w:val="006C5A83"/>
    <w:rsid w:val="006C6FB6"/>
    <w:rsid w:val="006D2386"/>
    <w:rsid w:val="006D504E"/>
    <w:rsid w:val="006E1D16"/>
    <w:rsid w:val="006E4150"/>
    <w:rsid w:val="006F05A9"/>
    <w:rsid w:val="00702EBA"/>
    <w:rsid w:val="00705FA9"/>
    <w:rsid w:val="0071029C"/>
    <w:rsid w:val="00711F24"/>
    <w:rsid w:val="00715681"/>
    <w:rsid w:val="00726E96"/>
    <w:rsid w:val="00727506"/>
    <w:rsid w:val="007349A7"/>
    <w:rsid w:val="007378A9"/>
    <w:rsid w:val="00762315"/>
    <w:rsid w:val="00765E47"/>
    <w:rsid w:val="00774274"/>
    <w:rsid w:val="007744C9"/>
    <w:rsid w:val="00784BAE"/>
    <w:rsid w:val="007862A3"/>
    <w:rsid w:val="00786B94"/>
    <w:rsid w:val="0079511C"/>
    <w:rsid w:val="00796ADA"/>
    <w:rsid w:val="007A0313"/>
    <w:rsid w:val="007A200F"/>
    <w:rsid w:val="007A5A42"/>
    <w:rsid w:val="007A7E3F"/>
    <w:rsid w:val="007B0930"/>
    <w:rsid w:val="007B1E97"/>
    <w:rsid w:val="007B4E72"/>
    <w:rsid w:val="007B64A3"/>
    <w:rsid w:val="007B6B54"/>
    <w:rsid w:val="007C047B"/>
    <w:rsid w:val="007C0E9F"/>
    <w:rsid w:val="007C4ADD"/>
    <w:rsid w:val="007D244E"/>
    <w:rsid w:val="007E1282"/>
    <w:rsid w:val="007E5434"/>
    <w:rsid w:val="00801C8F"/>
    <w:rsid w:val="008073A2"/>
    <w:rsid w:val="00820B5C"/>
    <w:rsid w:val="00822478"/>
    <w:rsid w:val="00830B02"/>
    <w:rsid w:val="00840AB1"/>
    <w:rsid w:val="0084374F"/>
    <w:rsid w:val="00844133"/>
    <w:rsid w:val="00846E9A"/>
    <w:rsid w:val="008528DA"/>
    <w:rsid w:val="00852CAF"/>
    <w:rsid w:val="008558EE"/>
    <w:rsid w:val="00856E0B"/>
    <w:rsid w:val="00860865"/>
    <w:rsid w:val="0088290E"/>
    <w:rsid w:val="008905B1"/>
    <w:rsid w:val="00892362"/>
    <w:rsid w:val="00894D1F"/>
    <w:rsid w:val="00896BFF"/>
    <w:rsid w:val="008A1B59"/>
    <w:rsid w:val="008A4E49"/>
    <w:rsid w:val="008A5195"/>
    <w:rsid w:val="008A6401"/>
    <w:rsid w:val="008A75BF"/>
    <w:rsid w:val="008B5DA1"/>
    <w:rsid w:val="008B75C1"/>
    <w:rsid w:val="008C0E28"/>
    <w:rsid w:val="008D18BE"/>
    <w:rsid w:val="008D4976"/>
    <w:rsid w:val="008D6A0C"/>
    <w:rsid w:val="008E1A31"/>
    <w:rsid w:val="008E56BB"/>
    <w:rsid w:val="008E6EE6"/>
    <w:rsid w:val="008E7CD2"/>
    <w:rsid w:val="008F12B6"/>
    <w:rsid w:val="008F6BE6"/>
    <w:rsid w:val="009051FC"/>
    <w:rsid w:val="00923A4D"/>
    <w:rsid w:val="00923EF3"/>
    <w:rsid w:val="00925E20"/>
    <w:rsid w:val="00927C49"/>
    <w:rsid w:val="009367D9"/>
    <w:rsid w:val="00943B5B"/>
    <w:rsid w:val="00943FF7"/>
    <w:rsid w:val="00945822"/>
    <w:rsid w:val="009459F0"/>
    <w:rsid w:val="0094775B"/>
    <w:rsid w:val="00951FEC"/>
    <w:rsid w:val="00972D39"/>
    <w:rsid w:val="00973E74"/>
    <w:rsid w:val="009769CA"/>
    <w:rsid w:val="009809AE"/>
    <w:rsid w:val="00985635"/>
    <w:rsid w:val="0099165C"/>
    <w:rsid w:val="00991F8D"/>
    <w:rsid w:val="0099514D"/>
    <w:rsid w:val="00995ECB"/>
    <w:rsid w:val="00996B13"/>
    <w:rsid w:val="009A1282"/>
    <w:rsid w:val="009A67BC"/>
    <w:rsid w:val="009B1993"/>
    <w:rsid w:val="009B2E21"/>
    <w:rsid w:val="009C30A1"/>
    <w:rsid w:val="009C771C"/>
    <w:rsid w:val="009D1BCE"/>
    <w:rsid w:val="009D23C3"/>
    <w:rsid w:val="009D3229"/>
    <w:rsid w:val="009D771F"/>
    <w:rsid w:val="009D7E3D"/>
    <w:rsid w:val="009F34D5"/>
    <w:rsid w:val="009F75BE"/>
    <w:rsid w:val="00A0363D"/>
    <w:rsid w:val="00A05F13"/>
    <w:rsid w:val="00A0647F"/>
    <w:rsid w:val="00A1344D"/>
    <w:rsid w:val="00A1589D"/>
    <w:rsid w:val="00A17896"/>
    <w:rsid w:val="00A178F5"/>
    <w:rsid w:val="00A3028A"/>
    <w:rsid w:val="00A30A26"/>
    <w:rsid w:val="00A32731"/>
    <w:rsid w:val="00A330F6"/>
    <w:rsid w:val="00A34A80"/>
    <w:rsid w:val="00A34DC0"/>
    <w:rsid w:val="00A41AF2"/>
    <w:rsid w:val="00A42846"/>
    <w:rsid w:val="00A44539"/>
    <w:rsid w:val="00A45E56"/>
    <w:rsid w:val="00A5018D"/>
    <w:rsid w:val="00A50F04"/>
    <w:rsid w:val="00A5171C"/>
    <w:rsid w:val="00A53104"/>
    <w:rsid w:val="00A5648C"/>
    <w:rsid w:val="00A652D4"/>
    <w:rsid w:val="00A6692C"/>
    <w:rsid w:val="00A71923"/>
    <w:rsid w:val="00A75C49"/>
    <w:rsid w:val="00A773AA"/>
    <w:rsid w:val="00A7770F"/>
    <w:rsid w:val="00A91C58"/>
    <w:rsid w:val="00A940C1"/>
    <w:rsid w:val="00A94A7D"/>
    <w:rsid w:val="00AA5803"/>
    <w:rsid w:val="00AB001D"/>
    <w:rsid w:val="00AB10D9"/>
    <w:rsid w:val="00AB1545"/>
    <w:rsid w:val="00AB229F"/>
    <w:rsid w:val="00AB3C7D"/>
    <w:rsid w:val="00AB48FF"/>
    <w:rsid w:val="00AC43E4"/>
    <w:rsid w:val="00AD032F"/>
    <w:rsid w:val="00AD05B3"/>
    <w:rsid w:val="00AD1E3D"/>
    <w:rsid w:val="00AD2EED"/>
    <w:rsid w:val="00AD4A7C"/>
    <w:rsid w:val="00AD5650"/>
    <w:rsid w:val="00AD5EBF"/>
    <w:rsid w:val="00AD64DF"/>
    <w:rsid w:val="00AD6F3F"/>
    <w:rsid w:val="00AD7074"/>
    <w:rsid w:val="00AE2B24"/>
    <w:rsid w:val="00AE3112"/>
    <w:rsid w:val="00AE4559"/>
    <w:rsid w:val="00AF11F6"/>
    <w:rsid w:val="00AF1270"/>
    <w:rsid w:val="00AF1B0B"/>
    <w:rsid w:val="00AF25CA"/>
    <w:rsid w:val="00AF268D"/>
    <w:rsid w:val="00B00D8E"/>
    <w:rsid w:val="00B05727"/>
    <w:rsid w:val="00B11602"/>
    <w:rsid w:val="00B15237"/>
    <w:rsid w:val="00B16736"/>
    <w:rsid w:val="00B27DBF"/>
    <w:rsid w:val="00B30405"/>
    <w:rsid w:val="00B319F9"/>
    <w:rsid w:val="00B35919"/>
    <w:rsid w:val="00B35A69"/>
    <w:rsid w:val="00B4207B"/>
    <w:rsid w:val="00B55872"/>
    <w:rsid w:val="00B63C9F"/>
    <w:rsid w:val="00B64397"/>
    <w:rsid w:val="00B648C1"/>
    <w:rsid w:val="00B64D8E"/>
    <w:rsid w:val="00B76272"/>
    <w:rsid w:val="00B842D1"/>
    <w:rsid w:val="00B87627"/>
    <w:rsid w:val="00B914CC"/>
    <w:rsid w:val="00B94537"/>
    <w:rsid w:val="00B95444"/>
    <w:rsid w:val="00B9621E"/>
    <w:rsid w:val="00BB74D8"/>
    <w:rsid w:val="00BC0FC2"/>
    <w:rsid w:val="00BC10E2"/>
    <w:rsid w:val="00BC2C77"/>
    <w:rsid w:val="00BC2FB1"/>
    <w:rsid w:val="00BC51CA"/>
    <w:rsid w:val="00BD0FD8"/>
    <w:rsid w:val="00BE1ECA"/>
    <w:rsid w:val="00BE2545"/>
    <w:rsid w:val="00BE54A8"/>
    <w:rsid w:val="00BF0313"/>
    <w:rsid w:val="00BF15C1"/>
    <w:rsid w:val="00BF73CF"/>
    <w:rsid w:val="00BF784D"/>
    <w:rsid w:val="00C03F44"/>
    <w:rsid w:val="00C04A5A"/>
    <w:rsid w:val="00C04F0E"/>
    <w:rsid w:val="00C05649"/>
    <w:rsid w:val="00C0700F"/>
    <w:rsid w:val="00C2604B"/>
    <w:rsid w:val="00C32701"/>
    <w:rsid w:val="00C34A7B"/>
    <w:rsid w:val="00C44D45"/>
    <w:rsid w:val="00C47B22"/>
    <w:rsid w:val="00C47E82"/>
    <w:rsid w:val="00C53C51"/>
    <w:rsid w:val="00C54403"/>
    <w:rsid w:val="00C57E9C"/>
    <w:rsid w:val="00C6075C"/>
    <w:rsid w:val="00C60A14"/>
    <w:rsid w:val="00C60E2D"/>
    <w:rsid w:val="00C62B49"/>
    <w:rsid w:val="00C65328"/>
    <w:rsid w:val="00C82529"/>
    <w:rsid w:val="00C919E4"/>
    <w:rsid w:val="00C9248C"/>
    <w:rsid w:val="00C92EBA"/>
    <w:rsid w:val="00CB0CEA"/>
    <w:rsid w:val="00CB4C25"/>
    <w:rsid w:val="00CC1FE3"/>
    <w:rsid w:val="00CC23A9"/>
    <w:rsid w:val="00CC52CE"/>
    <w:rsid w:val="00CC7009"/>
    <w:rsid w:val="00CD02D3"/>
    <w:rsid w:val="00CD086A"/>
    <w:rsid w:val="00CD2EA2"/>
    <w:rsid w:val="00CD5C10"/>
    <w:rsid w:val="00CD672F"/>
    <w:rsid w:val="00CE261A"/>
    <w:rsid w:val="00CE5667"/>
    <w:rsid w:val="00CF15F4"/>
    <w:rsid w:val="00D10266"/>
    <w:rsid w:val="00D132A1"/>
    <w:rsid w:val="00D157F7"/>
    <w:rsid w:val="00D201D6"/>
    <w:rsid w:val="00D20523"/>
    <w:rsid w:val="00D21CFB"/>
    <w:rsid w:val="00D24C32"/>
    <w:rsid w:val="00D305EF"/>
    <w:rsid w:val="00D35D7A"/>
    <w:rsid w:val="00D43C2A"/>
    <w:rsid w:val="00D45A19"/>
    <w:rsid w:val="00D467F1"/>
    <w:rsid w:val="00D5228C"/>
    <w:rsid w:val="00D526BD"/>
    <w:rsid w:val="00D543A1"/>
    <w:rsid w:val="00D6076F"/>
    <w:rsid w:val="00D67ECD"/>
    <w:rsid w:val="00D731E8"/>
    <w:rsid w:val="00D73764"/>
    <w:rsid w:val="00D8059C"/>
    <w:rsid w:val="00D80766"/>
    <w:rsid w:val="00D855BD"/>
    <w:rsid w:val="00D86E1A"/>
    <w:rsid w:val="00D97CA8"/>
    <w:rsid w:val="00DA1608"/>
    <w:rsid w:val="00DA3E9E"/>
    <w:rsid w:val="00DB703B"/>
    <w:rsid w:val="00DC6E13"/>
    <w:rsid w:val="00DD2769"/>
    <w:rsid w:val="00DD44FF"/>
    <w:rsid w:val="00DD6DB5"/>
    <w:rsid w:val="00DE02CB"/>
    <w:rsid w:val="00DE44A8"/>
    <w:rsid w:val="00DE7DDB"/>
    <w:rsid w:val="00DF2970"/>
    <w:rsid w:val="00DF7DA0"/>
    <w:rsid w:val="00E00D7D"/>
    <w:rsid w:val="00E02944"/>
    <w:rsid w:val="00E05A1E"/>
    <w:rsid w:val="00E12439"/>
    <w:rsid w:val="00E14182"/>
    <w:rsid w:val="00E15F0E"/>
    <w:rsid w:val="00E16914"/>
    <w:rsid w:val="00E26278"/>
    <w:rsid w:val="00E34471"/>
    <w:rsid w:val="00E4064D"/>
    <w:rsid w:val="00E4497D"/>
    <w:rsid w:val="00E46C14"/>
    <w:rsid w:val="00E4703E"/>
    <w:rsid w:val="00E51038"/>
    <w:rsid w:val="00E632B0"/>
    <w:rsid w:val="00E713B3"/>
    <w:rsid w:val="00E71AD7"/>
    <w:rsid w:val="00E73A93"/>
    <w:rsid w:val="00E77C95"/>
    <w:rsid w:val="00E82FA3"/>
    <w:rsid w:val="00E85767"/>
    <w:rsid w:val="00E87DD9"/>
    <w:rsid w:val="00E97BB8"/>
    <w:rsid w:val="00E97DE0"/>
    <w:rsid w:val="00EA24E0"/>
    <w:rsid w:val="00EA3F72"/>
    <w:rsid w:val="00EA47D3"/>
    <w:rsid w:val="00EA4C51"/>
    <w:rsid w:val="00EA579A"/>
    <w:rsid w:val="00EA7F2F"/>
    <w:rsid w:val="00EB2C85"/>
    <w:rsid w:val="00EB4033"/>
    <w:rsid w:val="00EB4ECC"/>
    <w:rsid w:val="00EC0198"/>
    <w:rsid w:val="00EC26F7"/>
    <w:rsid w:val="00EC4B23"/>
    <w:rsid w:val="00EC4DFA"/>
    <w:rsid w:val="00ED6026"/>
    <w:rsid w:val="00ED6280"/>
    <w:rsid w:val="00EE03D9"/>
    <w:rsid w:val="00EE6134"/>
    <w:rsid w:val="00EF1736"/>
    <w:rsid w:val="00EF5B4C"/>
    <w:rsid w:val="00F00E29"/>
    <w:rsid w:val="00F027E1"/>
    <w:rsid w:val="00F073B9"/>
    <w:rsid w:val="00F07A29"/>
    <w:rsid w:val="00F1045F"/>
    <w:rsid w:val="00F11576"/>
    <w:rsid w:val="00F1166C"/>
    <w:rsid w:val="00F166DD"/>
    <w:rsid w:val="00F2453C"/>
    <w:rsid w:val="00F24D48"/>
    <w:rsid w:val="00F34067"/>
    <w:rsid w:val="00F42932"/>
    <w:rsid w:val="00F42DAD"/>
    <w:rsid w:val="00F452FB"/>
    <w:rsid w:val="00F545A5"/>
    <w:rsid w:val="00F5466A"/>
    <w:rsid w:val="00F6041E"/>
    <w:rsid w:val="00F60E60"/>
    <w:rsid w:val="00F66489"/>
    <w:rsid w:val="00F7045A"/>
    <w:rsid w:val="00F718EF"/>
    <w:rsid w:val="00F8288E"/>
    <w:rsid w:val="00F909E7"/>
    <w:rsid w:val="00F92CA7"/>
    <w:rsid w:val="00F950BE"/>
    <w:rsid w:val="00F96779"/>
    <w:rsid w:val="00FB7250"/>
    <w:rsid w:val="00FC5E89"/>
    <w:rsid w:val="00FD331A"/>
    <w:rsid w:val="00FE2C37"/>
    <w:rsid w:val="00FE6841"/>
    <w:rsid w:val="00FE6A87"/>
    <w:rsid w:val="00FF0BEF"/>
    <w:rsid w:val="00FF7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0506"/>
  <w15:chartTrackingRefBased/>
  <w15:docId w15:val="{10F6A10A-DE42-414E-8DDC-97D5763D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54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852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8DA"/>
    <w:rPr>
      <w:sz w:val="20"/>
      <w:szCs w:val="20"/>
    </w:rPr>
  </w:style>
  <w:style w:type="character" w:styleId="FootnoteReference">
    <w:name w:val="footnote reference"/>
    <w:basedOn w:val="DefaultParagraphFont"/>
    <w:uiPriority w:val="99"/>
    <w:semiHidden/>
    <w:unhideWhenUsed/>
    <w:rsid w:val="008528DA"/>
    <w:rPr>
      <w:vertAlign w:val="superscript"/>
    </w:rPr>
  </w:style>
  <w:style w:type="paragraph" w:styleId="ListParagraph">
    <w:name w:val="List Paragraph"/>
    <w:aliases w:val="List Paragraph1,Recommendation,List Paragraph11"/>
    <w:basedOn w:val="Normal"/>
    <w:link w:val="ListParagraphChar"/>
    <w:uiPriority w:val="34"/>
    <w:qFormat/>
    <w:rsid w:val="00EF5B4C"/>
    <w:pPr>
      <w:ind w:left="720"/>
      <w:contextualSpacing/>
    </w:pPr>
  </w:style>
  <w:style w:type="character" w:styleId="Hyperlink">
    <w:name w:val="Hyperlink"/>
    <w:aliases w:val="CEO_Hyperlink"/>
    <w:basedOn w:val="DefaultParagraphFont"/>
    <w:rsid w:val="00F66489"/>
    <w:rPr>
      <w:rFonts w:cs="Times New Roman"/>
      <w:color w:val="0000FF"/>
      <w:u w:val="single"/>
    </w:rPr>
  </w:style>
  <w:style w:type="character" w:styleId="UnresolvedMention">
    <w:name w:val="Unresolved Mention"/>
    <w:basedOn w:val="DefaultParagraphFont"/>
    <w:uiPriority w:val="99"/>
    <w:semiHidden/>
    <w:unhideWhenUsed/>
    <w:rsid w:val="00B319F9"/>
    <w:rPr>
      <w:color w:val="605E5C"/>
      <w:shd w:val="clear" w:color="auto" w:fill="E1DFDD"/>
    </w:rPr>
  </w:style>
  <w:style w:type="character" w:styleId="FollowedHyperlink">
    <w:name w:val="FollowedHyperlink"/>
    <w:basedOn w:val="DefaultParagraphFont"/>
    <w:uiPriority w:val="99"/>
    <w:semiHidden/>
    <w:unhideWhenUsed/>
    <w:rsid w:val="00B319F9"/>
    <w:rPr>
      <w:color w:val="954F72" w:themeColor="followed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151E48"/>
  </w:style>
  <w:style w:type="paragraph" w:styleId="Header">
    <w:name w:val="header"/>
    <w:basedOn w:val="Normal"/>
    <w:link w:val="HeaderChar"/>
    <w:uiPriority w:val="99"/>
    <w:unhideWhenUsed/>
    <w:rsid w:val="00C44D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44D45"/>
  </w:style>
  <w:style w:type="paragraph" w:styleId="Footer">
    <w:name w:val="footer"/>
    <w:basedOn w:val="Normal"/>
    <w:link w:val="FooterChar"/>
    <w:uiPriority w:val="99"/>
    <w:unhideWhenUsed/>
    <w:rsid w:val="00C44D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44D45"/>
  </w:style>
  <w:style w:type="table" w:styleId="TableGrid">
    <w:name w:val="Table Grid"/>
    <w:basedOn w:val="TableNormal"/>
    <w:uiPriority w:val="39"/>
    <w:rsid w:val="00AB48FF"/>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Header"/>
    <w:rsid w:val="00420CBD"/>
    <w:pPr>
      <w:tabs>
        <w:tab w:val="clear" w:pos="4819"/>
        <w:tab w:val="clear" w:pos="9638"/>
        <w:tab w:val="center" w:pos="4536"/>
        <w:tab w:val="right" w:pos="9072"/>
      </w:tabs>
    </w:pPr>
    <w:rPr>
      <w:rFonts w:ascii="Arial" w:eastAsia="Times New Roman" w:hAnsi="Arial" w:cs="Times New Roman"/>
      <w:b/>
      <w:sz w:val="20"/>
      <w:szCs w:val="20"/>
      <w:lang w:val="nb-NO" w:eastAsia="de-DE"/>
    </w:rPr>
  </w:style>
  <w:style w:type="paragraph" w:styleId="Title">
    <w:name w:val="Title"/>
    <w:basedOn w:val="Normal"/>
    <w:link w:val="TitleChar"/>
    <w:qFormat/>
    <w:rsid w:val="00420CBD"/>
    <w:pPr>
      <w:spacing w:after="120" w:line="240" w:lineRule="auto"/>
      <w:jc w:val="center"/>
    </w:pPr>
    <w:rPr>
      <w:rFonts w:ascii="Arial" w:eastAsia="Times New Roman" w:hAnsi="Arial" w:cs="Times New Roman"/>
      <w:b/>
      <w:sz w:val="28"/>
      <w:szCs w:val="20"/>
      <w:lang w:val="de-DE" w:eastAsia="de-DE"/>
    </w:rPr>
  </w:style>
  <w:style w:type="character" w:customStyle="1" w:styleId="TitleChar">
    <w:name w:val="Title Char"/>
    <w:basedOn w:val="DefaultParagraphFont"/>
    <w:link w:val="Title"/>
    <w:rsid w:val="00420CBD"/>
    <w:rPr>
      <w:rFonts w:ascii="Arial" w:eastAsia="Times New Roman" w:hAnsi="Arial" w:cs="Times New Roman"/>
      <w:b/>
      <w:sz w:val="28"/>
      <w:szCs w:val="20"/>
      <w:lang w:val="de-DE" w:eastAsia="de-DE"/>
    </w:rPr>
  </w:style>
  <w:style w:type="paragraph" w:customStyle="1" w:styleId="Title1">
    <w:name w:val="Title 1"/>
    <w:basedOn w:val="Normal"/>
    <w:next w:val="Normal"/>
    <w:rsid w:val="00300684"/>
    <w:pPr>
      <w:framePr w:hSpace="180" w:wrap="around" w:hAnchor="margin" w:y="-675"/>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Calibri" w:eastAsia="SimSun" w:hAnsi="Calibri" w:cs="Times New Roman"/>
      <w:caps/>
      <w:sz w:val="28"/>
      <w:szCs w:val="20"/>
      <w:lang w:val="en-GB"/>
    </w:rPr>
  </w:style>
  <w:style w:type="paragraph" w:customStyle="1" w:styleId="Reasons">
    <w:name w:val="Reasons"/>
    <w:basedOn w:val="Normal"/>
    <w:qFormat/>
    <w:rsid w:val="00300684"/>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en-GB"/>
    </w:rPr>
  </w:style>
  <w:style w:type="paragraph" w:customStyle="1" w:styleId="Committee">
    <w:name w:val="Committee"/>
    <w:basedOn w:val="Normal"/>
    <w:qFormat/>
    <w:rsid w:val="00300684"/>
    <w:pPr>
      <w:tabs>
        <w:tab w:val="left" w:pos="851"/>
      </w:tabs>
      <w:spacing w:after="200" w:line="240" w:lineRule="atLeast"/>
    </w:pPr>
    <w:rPr>
      <w:rFonts w:eastAsiaTheme="minorEastAsia" w:cstheme="minorHAnsi"/>
      <w:b/>
      <w:sz w:val="24"/>
      <w:szCs w:val="24"/>
      <w:lang w:val="en-US" w:eastAsia="zh-CN"/>
    </w:rPr>
  </w:style>
  <w:style w:type="character" w:customStyle="1" w:styleId="normaltextrun">
    <w:name w:val="normaltextrun"/>
    <w:basedOn w:val="DefaultParagraphFont"/>
    <w:rsid w:val="00300684"/>
  </w:style>
  <w:style w:type="paragraph" w:customStyle="1" w:styleId="Tablehead">
    <w:name w:val="Table head"/>
    <w:basedOn w:val="Normal"/>
    <w:uiPriority w:val="99"/>
    <w:rsid w:val="008C0E28"/>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semiHidden/>
    <w:unhideWhenUsed/>
    <w:rsid w:val="006A77AE"/>
    <w:rPr>
      <w:sz w:val="16"/>
      <w:szCs w:val="16"/>
    </w:rPr>
  </w:style>
  <w:style w:type="paragraph" w:styleId="CommentText">
    <w:name w:val="annotation text"/>
    <w:basedOn w:val="Normal"/>
    <w:link w:val="CommentTextChar"/>
    <w:uiPriority w:val="99"/>
    <w:unhideWhenUsed/>
    <w:rsid w:val="006A77AE"/>
    <w:pPr>
      <w:spacing w:line="240" w:lineRule="auto"/>
    </w:pPr>
    <w:rPr>
      <w:sz w:val="20"/>
      <w:szCs w:val="20"/>
    </w:rPr>
  </w:style>
  <w:style w:type="character" w:customStyle="1" w:styleId="CommentTextChar">
    <w:name w:val="Comment Text Char"/>
    <w:basedOn w:val="DefaultParagraphFont"/>
    <w:link w:val="CommentText"/>
    <w:uiPriority w:val="99"/>
    <w:rsid w:val="006A77AE"/>
    <w:rPr>
      <w:sz w:val="20"/>
      <w:szCs w:val="20"/>
    </w:rPr>
  </w:style>
  <w:style w:type="paragraph" w:styleId="CommentSubject">
    <w:name w:val="annotation subject"/>
    <w:basedOn w:val="CommentText"/>
    <w:next w:val="CommentText"/>
    <w:link w:val="CommentSubjectChar"/>
    <w:uiPriority w:val="99"/>
    <w:semiHidden/>
    <w:unhideWhenUsed/>
    <w:rsid w:val="006A77AE"/>
    <w:rPr>
      <w:b/>
      <w:bCs/>
    </w:rPr>
  </w:style>
  <w:style w:type="character" w:customStyle="1" w:styleId="CommentSubjectChar">
    <w:name w:val="Comment Subject Char"/>
    <w:basedOn w:val="CommentTextChar"/>
    <w:link w:val="CommentSubject"/>
    <w:uiPriority w:val="99"/>
    <w:semiHidden/>
    <w:rsid w:val="006A77AE"/>
    <w:rPr>
      <w:b/>
      <w:bCs/>
      <w:sz w:val="20"/>
      <w:szCs w:val="20"/>
    </w:rPr>
  </w:style>
  <w:style w:type="paragraph" w:styleId="Revision">
    <w:name w:val="Revision"/>
    <w:hidden/>
    <w:uiPriority w:val="99"/>
    <w:semiHidden/>
    <w:rsid w:val="00194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573">
      <w:bodyDiv w:val="1"/>
      <w:marLeft w:val="0"/>
      <w:marRight w:val="0"/>
      <w:marTop w:val="0"/>
      <w:marBottom w:val="0"/>
      <w:divBdr>
        <w:top w:val="none" w:sz="0" w:space="0" w:color="auto"/>
        <w:left w:val="none" w:sz="0" w:space="0" w:color="auto"/>
        <w:bottom w:val="none" w:sz="0" w:space="0" w:color="auto"/>
        <w:right w:val="none" w:sz="0" w:space="0" w:color="auto"/>
      </w:divBdr>
    </w:div>
    <w:div w:id="278605650">
      <w:bodyDiv w:val="1"/>
      <w:marLeft w:val="0"/>
      <w:marRight w:val="0"/>
      <w:marTop w:val="0"/>
      <w:marBottom w:val="0"/>
      <w:divBdr>
        <w:top w:val="none" w:sz="0" w:space="0" w:color="auto"/>
        <w:left w:val="none" w:sz="0" w:space="0" w:color="auto"/>
        <w:bottom w:val="none" w:sz="0" w:space="0" w:color="auto"/>
        <w:right w:val="none" w:sz="0" w:space="0" w:color="auto"/>
      </w:divBdr>
    </w:div>
    <w:div w:id="314920754">
      <w:bodyDiv w:val="1"/>
      <w:marLeft w:val="0"/>
      <w:marRight w:val="0"/>
      <w:marTop w:val="0"/>
      <w:marBottom w:val="0"/>
      <w:divBdr>
        <w:top w:val="none" w:sz="0" w:space="0" w:color="auto"/>
        <w:left w:val="none" w:sz="0" w:space="0" w:color="auto"/>
        <w:bottom w:val="none" w:sz="0" w:space="0" w:color="auto"/>
        <w:right w:val="none" w:sz="0" w:space="0" w:color="auto"/>
      </w:divBdr>
    </w:div>
    <w:div w:id="424156507">
      <w:bodyDiv w:val="1"/>
      <w:marLeft w:val="0"/>
      <w:marRight w:val="0"/>
      <w:marTop w:val="0"/>
      <w:marBottom w:val="0"/>
      <w:divBdr>
        <w:top w:val="none" w:sz="0" w:space="0" w:color="auto"/>
        <w:left w:val="none" w:sz="0" w:space="0" w:color="auto"/>
        <w:bottom w:val="none" w:sz="0" w:space="0" w:color="auto"/>
        <w:right w:val="none" w:sz="0" w:space="0" w:color="auto"/>
      </w:divBdr>
    </w:div>
    <w:div w:id="479345619">
      <w:bodyDiv w:val="1"/>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sChild>
            <w:div w:id="12259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614">
      <w:bodyDiv w:val="1"/>
      <w:marLeft w:val="0"/>
      <w:marRight w:val="0"/>
      <w:marTop w:val="0"/>
      <w:marBottom w:val="0"/>
      <w:divBdr>
        <w:top w:val="none" w:sz="0" w:space="0" w:color="auto"/>
        <w:left w:val="none" w:sz="0" w:space="0" w:color="auto"/>
        <w:bottom w:val="none" w:sz="0" w:space="0" w:color="auto"/>
        <w:right w:val="none" w:sz="0" w:space="0" w:color="auto"/>
      </w:divBdr>
    </w:div>
    <w:div w:id="625240975">
      <w:bodyDiv w:val="1"/>
      <w:marLeft w:val="0"/>
      <w:marRight w:val="0"/>
      <w:marTop w:val="0"/>
      <w:marBottom w:val="0"/>
      <w:divBdr>
        <w:top w:val="none" w:sz="0" w:space="0" w:color="auto"/>
        <w:left w:val="none" w:sz="0" w:space="0" w:color="auto"/>
        <w:bottom w:val="none" w:sz="0" w:space="0" w:color="auto"/>
        <w:right w:val="none" w:sz="0" w:space="0" w:color="auto"/>
      </w:divBdr>
    </w:div>
    <w:div w:id="634219181">
      <w:bodyDiv w:val="1"/>
      <w:marLeft w:val="0"/>
      <w:marRight w:val="0"/>
      <w:marTop w:val="0"/>
      <w:marBottom w:val="0"/>
      <w:divBdr>
        <w:top w:val="none" w:sz="0" w:space="0" w:color="auto"/>
        <w:left w:val="none" w:sz="0" w:space="0" w:color="auto"/>
        <w:bottom w:val="none" w:sz="0" w:space="0" w:color="auto"/>
        <w:right w:val="none" w:sz="0" w:space="0" w:color="auto"/>
      </w:divBdr>
    </w:div>
    <w:div w:id="655840437">
      <w:bodyDiv w:val="1"/>
      <w:marLeft w:val="0"/>
      <w:marRight w:val="0"/>
      <w:marTop w:val="0"/>
      <w:marBottom w:val="0"/>
      <w:divBdr>
        <w:top w:val="none" w:sz="0" w:space="0" w:color="auto"/>
        <w:left w:val="none" w:sz="0" w:space="0" w:color="auto"/>
        <w:bottom w:val="none" w:sz="0" w:space="0" w:color="auto"/>
        <w:right w:val="none" w:sz="0" w:space="0" w:color="auto"/>
      </w:divBdr>
    </w:div>
    <w:div w:id="684477186">
      <w:bodyDiv w:val="1"/>
      <w:marLeft w:val="0"/>
      <w:marRight w:val="0"/>
      <w:marTop w:val="0"/>
      <w:marBottom w:val="0"/>
      <w:divBdr>
        <w:top w:val="none" w:sz="0" w:space="0" w:color="auto"/>
        <w:left w:val="none" w:sz="0" w:space="0" w:color="auto"/>
        <w:bottom w:val="none" w:sz="0" w:space="0" w:color="auto"/>
        <w:right w:val="none" w:sz="0" w:space="0" w:color="auto"/>
      </w:divBdr>
    </w:div>
    <w:div w:id="924268790">
      <w:bodyDiv w:val="1"/>
      <w:marLeft w:val="0"/>
      <w:marRight w:val="0"/>
      <w:marTop w:val="0"/>
      <w:marBottom w:val="0"/>
      <w:divBdr>
        <w:top w:val="none" w:sz="0" w:space="0" w:color="auto"/>
        <w:left w:val="none" w:sz="0" w:space="0" w:color="auto"/>
        <w:bottom w:val="none" w:sz="0" w:space="0" w:color="auto"/>
        <w:right w:val="none" w:sz="0" w:space="0" w:color="auto"/>
      </w:divBdr>
    </w:div>
    <w:div w:id="970667453">
      <w:bodyDiv w:val="1"/>
      <w:marLeft w:val="0"/>
      <w:marRight w:val="0"/>
      <w:marTop w:val="0"/>
      <w:marBottom w:val="0"/>
      <w:divBdr>
        <w:top w:val="none" w:sz="0" w:space="0" w:color="auto"/>
        <w:left w:val="none" w:sz="0" w:space="0" w:color="auto"/>
        <w:bottom w:val="none" w:sz="0" w:space="0" w:color="auto"/>
        <w:right w:val="none" w:sz="0" w:space="0" w:color="auto"/>
      </w:divBdr>
    </w:div>
    <w:div w:id="1123309359">
      <w:bodyDiv w:val="1"/>
      <w:marLeft w:val="0"/>
      <w:marRight w:val="0"/>
      <w:marTop w:val="0"/>
      <w:marBottom w:val="0"/>
      <w:divBdr>
        <w:top w:val="none" w:sz="0" w:space="0" w:color="auto"/>
        <w:left w:val="none" w:sz="0" w:space="0" w:color="auto"/>
        <w:bottom w:val="none" w:sz="0" w:space="0" w:color="auto"/>
        <w:right w:val="none" w:sz="0" w:space="0" w:color="auto"/>
      </w:divBdr>
    </w:div>
    <w:div w:id="1265268767">
      <w:bodyDiv w:val="1"/>
      <w:marLeft w:val="0"/>
      <w:marRight w:val="0"/>
      <w:marTop w:val="0"/>
      <w:marBottom w:val="0"/>
      <w:divBdr>
        <w:top w:val="none" w:sz="0" w:space="0" w:color="auto"/>
        <w:left w:val="none" w:sz="0" w:space="0" w:color="auto"/>
        <w:bottom w:val="none" w:sz="0" w:space="0" w:color="auto"/>
        <w:right w:val="none" w:sz="0" w:space="0" w:color="auto"/>
      </w:divBdr>
    </w:div>
    <w:div w:id="1273980729">
      <w:bodyDiv w:val="1"/>
      <w:marLeft w:val="0"/>
      <w:marRight w:val="0"/>
      <w:marTop w:val="0"/>
      <w:marBottom w:val="0"/>
      <w:divBdr>
        <w:top w:val="none" w:sz="0" w:space="0" w:color="auto"/>
        <w:left w:val="none" w:sz="0" w:space="0" w:color="auto"/>
        <w:bottom w:val="none" w:sz="0" w:space="0" w:color="auto"/>
        <w:right w:val="none" w:sz="0" w:space="0" w:color="auto"/>
      </w:divBdr>
      <w:divsChild>
        <w:div w:id="1189298524">
          <w:marLeft w:val="432"/>
          <w:marRight w:val="0"/>
          <w:marTop w:val="116"/>
          <w:marBottom w:val="0"/>
          <w:divBdr>
            <w:top w:val="none" w:sz="0" w:space="0" w:color="auto"/>
            <w:left w:val="none" w:sz="0" w:space="0" w:color="auto"/>
            <w:bottom w:val="none" w:sz="0" w:space="0" w:color="auto"/>
            <w:right w:val="none" w:sz="0" w:space="0" w:color="auto"/>
          </w:divBdr>
        </w:div>
        <w:div w:id="579750092">
          <w:marLeft w:val="432"/>
          <w:marRight w:val="0"/>
          <w:marTop w:val="116"/>
          <w:marBottom w:val="0"/>
          <w:divBdr>
            <w:top w:val="none" w:sz="0" w:space="0" w:color="auto"/>
            <w:left w:val="none" w:sz="0" w:space="0" w:color="auto"/>
            <w:bottom w:val="none" w:sz="0" w:space="0" w:color="auto"/>
            <w:right w:val="none" w:sz="0" w:space="0" w:color="auto"/>
          </w:divBdr>
        </w:div>
        <w:div w:id="1824199965">
          <w:marLeft w:val="432"/>
          <w:marRight w:val="0"/>
          <w:marTop w:val="116"/>
          <w:marBottom w:val="0"/>
          <w:divBdr>
            <w:top w:val="none" w:sz="0" w:space="0" w:color="auto"/>
            <w:left w:val="none" w:sz="0" w:space="0" w:color="auto"/>
            <w:bottom w:val="none" w:sz="0" w:space="0" w:color="auto"/>
            <w:right w:val="none" w:sz="0" w:space="0" w:color="auto"/>
          </w:divBdr>
        </w:div>
        <w:div w:id="1656957085">
          <w:marLeft w:val="432"/>
          <w:marRight w:val="0"/>
          <w:marTop w:val="116"/>
          <w:marBottom w:val="0"/>
          <w:divBdr>
            <w:top w:val="none" w:sz="0" w:space="0" w:color="auto"/>
            <w:left w:val="none" w:sz="0" w:space="0" w:color="auto"/>
            <w:bottom w:val="none" w:sz="0" w:space="0" w:color="auto"/>
            <w:right w:val="none" w:sz="0" w:space="0" w:color="auto"/>
          </w:divBdr>
        </w:div>
        <w:div w:id="1543597346">
          <w:marLeft w:val="432"/>
          <w:marRight w:val="0"/>
          <w:marTop w:val="116"/>
          <w:marBottom w:val="0"/>
          <w:divBdr>
            <w:top w:val="none" w:sz="0" w:space="0" w:color="auto"/>
            <w:left w:val="none" w:sz="0" w:space="0" w:color="auto"/>
            <w:bottom w:val="none" w:sz="0" w:space="0" w:color="auto"/>
            <w:right w:val="none" w:sz="0" w:space="0" w:color="auto"/>
          </w:divBdr>
        </w:div>
      </w:divsChild>
    </w:div>
    <w:div w:id="1455708729">
      <w:bodyDiv w:val="1"/>
      <w:marLeft w:val="0"/>
      <w:marRight w:val="0"/>
      <w:marTop w:val="0"/>
      <w:marBottom w:val="0"/>
      <w:divBdr>
        <w:top w:val="none" w:sz="0" w:space="0" w:color="auto"/>
        <w:left w:val="none" w:sz="0" w:space="0" w:color="auto"/>
        <w:bottom w:val="none" w:sz="0" w:space="0" w:color="auto"/>
        <w:right w:val="none" w:sz="0" w:space="0" w:color="auto"/>
      </w:divBdr>
    </w:div>
    <w:div w:id="1847330860">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sChild>
        <w:div w:id="1068191248">
          <w:marLeft w:val="432"/>
          <w:marRight w:val="0"/>
          <w:marTop w:val="116"/>
          <w:marBottom w:val="0"/>
          <w:divBdr>
            <w:top w:val="none" w:sz="0" w:space="0" w:color="auto"/>
            <w:left w:val="none" w:sz="0" w:space="0" w:color="auto"/>
            <w:bottom w:val="none" w:sz="0" w:space="0" w:color="auto"/>
            <w:right w:val="none" w:sz="0" w:space="0" w:color="auto"/>
          </w:divBdr>
        </w:div>
        <w:div w:id="32387273">
          <w:marLeft w:val="432"/>
          <w:marRight w:val="0"/>
          <w:marTop w:val="116"/>
          <w:marBottom w:val="0"/>
          <w:divBdr>
            <w:top w:val="none" w:sz="0" w:space="0" w:color="auto"/>
            <w:left w:val="none" w:sz="0" w:space="0" w:color="auto"/>
            <w:bottom w:val="none" w:sz="0" w:space="0" w:color="auto"/>
            <w:right w:val="none" w:sz="0" w:space="0" w:color="auto"/>
          </w:divBdr>
        </w:div>
        <w:div w:id="1530727078">
          <w:marLeft w:val="432"/>
          <w:marRight w:val="0"/>
          <w:marTop w:val="116"/>
          <w:marBottom w:val="0"/>
          <w:divBdr>
            <w:top w:val="none" w:sz="0" w:space="0" w:color="auto"/>
            <w:left w:val="none" w:sz="0" w:space="0" w:color="auto"/>
            <w:bottom w:val="none" w:sz="0" w:space="0" w:color="auto"/>
            <w:right w:val="none" w:sz="0" w:space="0" w:color="auto"/>
          </w:divBdr>
        </w:div>
        <w:div w:id="2045254660">
          <w:marLeft w:val="432"/>
          <w:marRight w:val="0"/>
          <w:marTop w:val="116"/>
          <w:marBottom w:val="0"/>
          <w:divBdr>
            <w:top w:val="none" w:sz="0" w:space="0" w:color="auto"/>
            <w:left w:val="none" w:sz="0" w:space="0" w:color="auto"/>
            <w:bottom w:val="none" w:sz="0" w:space="0" w:color="auto"/>
            <w:right w:val="none" w:sz="0" w:space="0" w:color="auto"/>
          </w:divBdr>
        </w:div>
        <w:div w:id="1763723272">
          <w:marLeft w:val="432"/>
          <w:marRight w:val="0"/>
          <w:marTop w:val="116"/>
          <w:marBottom w:val="0"/>
          <w:divBdr>
            <w:top w:val="none" w:sz="0" w:space="0" w:color="auto"/>
            <w:left w:val="none" w:sz="0" w:space="0" w:color="auto"/>
            <w:bottom w:val="none" w:sz="0" w:space="0" w:color="auto"/>
            <w:right w:val="none" w:sz="0" w:space="0" w:color="auto"/>
          </w:divBdr>
        </w:div>
      </w:divsChild>
    </w:div>
    <w:div w:id="1935166140">
      <w:bodyDiv w:val="1"/>
      <w:marLeft w:val="0"/>
      <w:marRight w:val="0"/>
      <w:marTop w:val="0"/>
      <w:marBottom w:val="0"/>
      <w:divBdr>
        <w:top w:val="none" w:sz="0" w:space="0" w:color="auto"/>
        <w:left w:val="none" w:sz="0" w:space="0" w:color="auto"/>
        <w:bottom w:val="none" w:sz="0" w:space="0" w:color="auto"/>
        <w:right w:val="none" w:sz="0" w:space="0" w:color="auto"/>
      </w:divBdr>
    </w:div>
    <w:div w:id="1937865327">
      <w:bodyDiv w:val="1"/>
      <w:marLeft w:val="0"/>
      <w:marRight w:val="0"/>
      <w:marTop w:val="0"/>
      <w:marBottom w:val="0"/>
      <w:divBdr>
        <w:top w:val="none" w:sz="0" w:space="0" w:color="auto"/>
        <w:left w:val="none" w:sz="0" w:space="0" w:color="auto"/>
        <w:bottom w:val="none" w:sz="0" w:space="0" w:color="auto"/>
        <w:right w:val="none" w:sz="0" w:space="0" w:color="auto"/>
      </w:divBdr>
    </w:div>
    <w:div w:id="19811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22.itu.in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0FFE99370CFD468510115DA163B2ED" ma:contentTypeVersion="9" ma:contentTypeDescription="Create a new document." ma:contentTypeScope="" ma:versionID="feec7fc4a6ce430651d289ed98d639e4">
  <xsd:schema xmlns:xsd="http://www.w3.org/2001/XMLSchema" xmlns:xs="http://www.w3.org/2001/XMLSchema" xmlns:p="http://schemas.microsoft.com/office/2006/metadata/properties" xmlns:ns2="e5789da2-bddc-4ce6-b40c-c8a467e60ea0" targetNamespace="http://schemas.microsoft.com/office/2006/metadata/properties" ma:root="true" ma:fieldsID="a2c5ac542144c67e63764fcebcdf599b" ns2:_="">
    <xsd:import namespace="e5789da2-bddc-4ce6-b40c-c8a467e60e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89da2-bddc-4ce6-b40c-c8a467e60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4E06-97E5-4F00-A890-E7B54F068080}">
  <ds:schemaRefs>
    <ds:schemaRef ds:uri="http://schemas.microsoft.com/sharepoint/v3/contenttype/forms"/>
  </ds:schemaRefs>
</ds:datastoreItem>
</file>

<file path=customXml/itemProps2.xml><?xml version="1.0" encoding="utf-8"?>
<ds:datastoreItem xmlns:ds="http://schemas.openxmlformats.org/officeDocument/2006/customXml" ds:itemID="{DB42468F-E1D6-4EBC-9A60-C38EA0BA8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6EF89-7913-4B69-B160-E064A6F5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89da2-bddc-4ce6-b40c-c8a467e60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73E91-FAB3-477D-85A8-EBACDEC1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Rimkevičienė</dc:creator>
  <cp:keywords/>
  <dc:description/>
  <cp:lastModifiedBy>Vassil Krastev (ECO)</cp:lastModifiedBy>
  <cp:revision>6</cp:revision>
  <dcterms:created xsi:type="dcterms:W3CDTF">2022-11-15T06:51:00Z</dcterms:created>
  <dcterms:modified xsi:type="dcterms:W3CDTF">2022-11-15T06:54:00Z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0x010100BC0FFE99370CFD468510115DA163B2ED</vt:lpwstr>
  </property>
</Properties>
</file>